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58"/>
        <w:ind/>
        <w:jc w:val="center"/>
        <w:rPr>
          <w:rStyle w:val="Style_2_ch"/>
          <w:rFonts w:ascii="Circe" w:hAnsi="Circe"/>
          <w:sz w:val="24"/>
        </w:rPr>
      </w:pPr>
      <w:r>
        <w:rPr>
          <w:rStyle w:val="Style_2_ch"/>
          <w:rFonts w:ascii="Circe" w:hAnsi="Circe"/>
          <w:sz w:val="24"/>
        </w:rPr>
        <w:t xml:space="preserve">ПРОГРАММА ИНФОРМАЦИОННОГО СЕМИНАРА </w:t>
      </w:r>
    </w:p>
    <w:p w14:paraId="02000000">
      <w:pPr>
        <w:pStyle w:val="Style_3"/>
        <w:spacing w:after="0" w:before="0" w:line="288" w:lineRule="auto"/>
        <w:ind/>
        <w:rPr>
          <w:rFonts w:ascii="Georgia" w:hAnsi="Georgia"/>
          <w:b w:val="1"/>
        </w:rPr>
      </w:pPr>
    </w:p>
    <w:p w14:paraId="03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«ПОВЫШЕНИЕ КВАЛИФИКАЦИИ ПОСТАВЩИКОВ В СФЕРЕ ГОСЗАКАЗА. </w:t>
      </w:r>
    </w:p>
    <w:p w14:paraId="04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АКТУАЛЬНАЯ ПРАКТИКА УЧАСТИЯ В ЗАКУПОЧНЫХ ПРОЦЕДУРАХ И ИСПОЛНЕНИЯ ГОСКОНТРАКТОВ </w:t>
      </w:r>
    </w:p>
    <w:p w14:paraId="05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В СООТВЕТСТВИИ С ТРЕБОВАНИЯ</w:t>
      </w:r>
      <w:r>
        <w:rPr>
          <w:rFonts w:ascii="Circe" w:hAnsi="Circe"/>
          <w:b w:val="1"/>
        </w:rPr>
        <w:t xml:space="preserve">МИ ФЕДЕРАЛЬНОГО ЗАКОНА №44-ФЗ. </w:t>
      </w:r>
      <w:r>
        <w:rPr>
          <w:rFonts w:ascii="Circe" w:hAnsi="Circe"/>
          <w:b w:val="1"/>
        </w:rPr>
        <w:t>ПОРЯДОК ОБЖАЛОВАНИЯ ЗАКУПОК</w:t>
      </w:r>
      <w:r>
        <w:rPr>
          <w:rFonts w:ascii="Circe" w:hAnsi="Circe"/>
          <w:b w:val="1"/>
        </w:rPr>
        <w:t>»</w:t>
      </w:r>
      <w:r>
        <w:rPr>
          <w:rFonts w:ascii="Circe" w:hAnsi="Circe"/>
          <w:b w:val="1"/>
        </w:rPr>
        <w:t xml:space="preserve"> </w:t>
      </w:r>
    </w:p>
    <w:p w14:paraId="06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7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Style w:val="Style_2_ch"/>
        </w:rPr>
      </w:pPr>
      <w:r>
        <w:rPr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7979410</wp:posOffset>
                </wp:positionH>
                <wp:positionV relativeFrom="paragraph">
                  <wp:posOffset>19050</wp:posOffset>
                </wp:positionV>
                <wp:extent cx="15525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08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</w:pPr>
                            <w:r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  <w:t>МОДУЛЬ 2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B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tbl>
      <w:tblPr>
        <w:tblStyle w:val="Style_6"/>
        <w:tblInd w:type="dxa" w:w="-74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506"/>
        <w:gridCol w:w="7796"/>
      </w:tblGrid>
      <w:tr>
        <w:tc>
          <w:tcPr>
            <w:tcW w:type="dxa" w:w="85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Организатор семинара:</w:t>
            </w:r>
          </w:p>
          <w:p w14:paraId="0D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0E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ООО «Специализированная организация-</w:t>
            </w:r>
          </w:p>
          <w:p w14:paraId="0F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АСТ-Консалтинг»</w:t>
            </w:r>
          </w:p>
          <w:p w14:paraId="10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drawing>
                <wp:inline>
                  <wp:extent cx="1905000" cy="88519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885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1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</w:p>
          <w:p w14:paraId="12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>тел</w:t>
            </w: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.: </w:t>
            </w:r>
            <w:r>
              <w:rPr>
                <w:rStyle w:val="Style_2_ch"/>
                <w:rFonts w:ascii="Circe" w:hAnsi="Circe"/>
                <w:sz w:val="24"/>
              </w:rPr>
              <w:t>8 800 100 45 60</w:t>
            </w:r>
          </w:p>
          <w:p w14:paraId="13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e-mail: </w:t>
            </w: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"mailto:info@ast-consulting.ru"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info@ast-consulting.ru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  <w:p w14:paraId="14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Georgia" w:hAnsi="Georgia"/>
                <w:b w:val="0"/>
                <w:color w:val="0000FF"/>
                <w:sz w:val="24"/>
                <w:u w:val="single"/>
              </w:rPr>
            </w:pP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"http://www.ast-consulting.ru"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www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ast</w:t>
            </w:r>
            <w:r>
              <w:rPr>
                <w:rStyle w:val="Style_7_ch"/>
                <w:rFonts w:ascii="Circe" w:hAnsi="Circe"/>
              </w:rPr>
              <w:t>-</w:t>
            </w:r>
            <w:r>
              <w:rPr>
                <w:rStyle w:val="Style_7_ch"/>
                <w:rFonts w:ascii="Circe" w:hAnsi="Circe"/>
              </w:rPr>
              <w:t>consulting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</w:tc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Лектор семинара:</w:t>
            </w:r>
          </w:p>
          <w:p w14:paraId="16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17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Макаренков Олег Павлович</w:t>
            </w:r>
          </w:p>
          <w:p w14:paraId="18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Руководитель Фе</w:t>
            </w:r>
            <w:r>
              <w:rPr>
                <w:rFonts w:ascii="Circe" w:hAnsi="Circe"/>
              </w:rPr>
              <w:t xml:space="preserve">дерального учебного центра </w:t>
            </w:r>
          </w:p>
          <w:p w14:paraId="19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t>«</w:t>
            </w:r>
            <w:r>
              <w:rPr>
                <w:rFonts w:ascii="Circe" w:hAnsi="Circe"/>
              </w:rPr>
              <w:t>СО-</w:t>
            </w:r>
            <w:r>
              <w:rPr>
                <w:rFonts w:ascii="Circe" w:hAnsi="Circe"/>
              </w:rPr>
              <w:t>АСТ-</w:t>
            </w:r>
            <w:r>
              <w:rPr>
                <w:rFonts w:ascii="Circe" w:hAnsi="Circe"/>
              </w:rPr>
              <w:t>Консалтинг»,</w:t>
            </w:r>
          </w:p>
          <w:p w14:paraId="1A000000">
            <w:pPr>
              <w:pStyle w:val="Style_8"/>
              <w:widowControl w:val="1"/>
              <w:spacing w:line="240" w:lineRule="auto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специалист в области  государственного и муниципального заказа, аккредитованный лектор ЭП,</w:t>
            </w:r>
          </w:p>
          <w:p w14:paraId="1B000000">
            <w:pPr>
              <w:pStyle w:val="Style_8"/>
              <w:widowControl w:val="1"/>
              <w:spacing w:line="240" w:lineRule="auto"/>
              <w:ind/>
              <w:jc w:val="center"/>
              <w:rPr>
                <w:rStyle w:val="Style_2_ch"/>
                <w:b w:val="0"/>
                <w:sz w:val="23"/>
              </w:rPr>
            </w:pPr>
            <w:r>
              <w:rPr>
                <w:rFonts w:ascii="Circe" w:hAnsi="Circe"/>
              </w:rPr>
              <w:t>кандидат экономических наук</w:t>
            </w:r>
          </w:p>
        </w:tc>
      </w:tr>
    </w:tbl>
    <w:p w14:paraId="1C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  <w:rFonts w:ascii="Circe" w:hAnsi="Circe"/>
        </w:rPr>
      </w:pPr>
    </w:p>
    <w:tbl>
      <w:tblPr>
        <w:tblStyle w:val="Style_9"/>
        <w:tblInd w:type="dxa" w:w="-811"/>
        <w:tblLayout w:type="fixed"/>
        <w:tblCellMar>
          <w:left w:type="dxa" w:w="40"/>
          <w:right w:type="dxa" w:w="40"/>
        </w:tblCellMar>
      </w:tblPr>
      <w:tblGrid>
        <w:gridCol w:w="1277"/>
        <w:gridCol w:w="14883"/>
      </w:tblGrid>
      <w:tr>
        <w:tc>
          <w:tcPr>
            <w:tcW w:type="dxa" w:w="161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D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E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</w:rPr>
              <w:t xml:space="preserve">   </w:t>
            </w:r>
            <w:r>
              <w:rPr>
                <w:rStyle w:val="Style_11_ch"/>
                <w:rFonts w:ascii="Circe" w:hAnsi="Circe"/>
                <w:sz w:val="23"/>
              </w:rPr>
              <w:t xml:space="preserve"> Время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F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sz w:val="23"/>
              </w:rPr>
              <w:t>Освещаемые вопросы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0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1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Регистрация участников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2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3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rPr>
          <w:trHeight w:hRule="atLeast" w:val="269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00000">
            <w:pPr>
              <w:pStyle w:val="Style_8"/>
              <w:widowControl w:val="1"/>
              <w:spacing w:line="240" w:lineRule="auto"/>
              <w:ind w:hanging="357" w:left="357" w:right="357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Анализ актуальных изме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нений в сфере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госзакупок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в 2024-2025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годах  </w:t>
            </w:r>
          </w:p>
          <w:p w14:paraId="26000000">
            <w:pPr>
              <w:pStyle w:val="Style_8"/>
              <w:widowControl w:val="1"/>
              <w:spacing w:line="240" w:lineRule="auto"/>
              <w:ind w:right="357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Федеральные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закон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ы: </w:t>
            </w:r>
            <w:r>
              <w:rPr>
                <w:rStyle w:val="Style_12_ch"/>
                <w:rFonts w:ascii="Circe" w:hAnsi="Circe"/>
                <w:sz w:val="23"/>
              </w:rPr>
              <w:t>от 8 марта 2022 года №46-ФЗ;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>от 16 апреля 2022 года №109-ФЗ;  от 16 апреля 2022 года №104-ФЗ;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11 июня 2022 года №160-ФЗ; от 04 ноября </w:t>
            </w:r>
            <w:r>
              <w:rPr>
                <w:rStyle w:val="Style_12_ch"/>
                <w:rFonts w:ascii="Circe" w:hAnsi="Circe"/>
                <w:sz w:val="23"/>
              </w:rPr>
              <w:t xml:space="preserve">2022 года </w:t>
            </w:r>
            <w:r>
              <w:rPr>
                <w:rStyle w:val="Style_12_ch"/>
                <w:rFonts w:ascii="Circe" w:hAnsi="Circe"/>
                <w:sz w:val="23"/>
              </w:rPr>
              <w:t>№420-ФЗ</w:t>
            </w:r>
            <w:r>
              <w:rPr>
                <w:rStyle w:val="Style_12_ch"/>
                <w:rFonts w:ascii="Circe" w:hAnsi="Circe"/>
                <w:sz w:val="23"/>
              </w:rPr>
              <w:t xml:space="preserve">; </w:t>
            </w: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28 апреля </w:t>
            </w:r>
            <w:r>
              <w:rPr>
                <w:rStyle w:val="Style_12_ch"/>
                <w:rFonts w:ascii="Circe" w:hAnsi="Circe"/>
                <w:sz w:val="23"/>
              </w:rPr>
              <w:t>2023</w:t>
            </w:r>
            <w:r>
              <w:rPr>
                <w:rStyle w:val="Style_12_ch"/>
                <w:rFonts w:ascii="Circe" w:hAnsi="Circe"/>
                <w:sz w:val="23"/>
              </w:rPr>
              <w:t xml:space="preserve"> года</w:t>
            </w:r>
            <w:r>
              <w:rPr>
                <w:rStyle w:val="Style_12_ch"/>
                <w:rFonts w:ascii="Circe" w:hAnsi="Circe"/>
                <w:sz w:val="23"/>
              </w:rPr>
              <w:t xml:space="preserve"> № 154-ФЗ</w:t>
            </w:r>
            <w:r>
              <w:rPr>
                <w:rStyle w:val="Style_12_ch"/>
                <w:rFonts w:ascii="Circe" w:hAnsi="Circe"/>
                <w:sz w:val="23"/>
              </w:rPr>
              <w:t>; от 25 декабря 2023 года №624-ФЗ; от 8 августа 2024 года №318-ФЗ; от 26 декабря 2024 года №484-ФЗ</w:t>
            </w:r>
          </w:p>
        </w:tc>
      </w:tr>
      <w:tr>
        <w:trPr>
          <w:trHeight w:hRule="atLeast" w:val="411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7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8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Новации контрактной системы в 2025 году</w:t>
            </w:r>
          </w:p>
          <w:p w14:paraId="29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Продление ряда антикризисных мер на 2025 год</w:t>
            </w:r>
          </w:p>
          <w:p w14:paraId="2A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Переход на НДС для ряда поставщиков, применяющих УСН. </w:t>
            </w:r>
            <w:r>
              <w:rPr>
                <w:rFonts w:ascii="Circe" w:hAnsi="Circe"/>
                <w:sz w:val="23"/>
              </w:rPr>
              <w:t>Допсоглашения</w:t>
            </w:r>
            <w:r>
              <w:rPr>
                <w:rFonts w:ascii="Circe" w:hAnsi="Circe"/>
                <w:sz w:val="23"/>
              </w:rPr>
              <w:t xml:space="preserve"> к контрактам</w:t>
            </w:r>
          </w:p>
          <w:p w14:paraId="2B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по заключению контракта с единственным поставщиком по ряду оснований части 1 статьи 93</w:t>
            </w:r>
          </w:p>
          <w:p w14:paraId="2C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Заключение цифрового контракта по закупкам у единственного поставщика с января и марта 2025 года: право и обязанность</w:t>
            </w:r>
          </w:p>
          <w:p w14:paraId="2D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порядке заключения контракта в случае несостоявшейся закупки</w:t>
            </w:r>
          </w:p>
          <w:p w14:paraId="2E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Структурированные </w:t>
            </w:r>
            <w:r>
              <w:rPr>
                <w:rFonts w:ascii="Circe" w:hAnsi="Circe"/>
                <w:sz w:val="23"/>
              </w:rPr>
              <w:t>допсоглашения</w:t>
            </w:r>
            <w:r>
              <w:rPr>
                <w:rFonts w:ascii="Circe" w:hAnsi="Circe"/>
                <w:sz w:val="23"/>
              </w:rPr>
              <w:t xml:space="preserve"> об изменении контрактов </w:t>
            </w:r>
          </w:p>
          <w:p w14:paraId="2F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Унификация закупок малого объема в рамках Концепции совершенствования закупок на период до 2027 года согласно Постановлению Правительства от 13.08.2024 № 2144-р</w:t>
            </w:r>
          </w:p>
          <w:p w14:paraId="30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Новации в закупках с </w:t>
            </w:r>
            <w:r>
              <w:rPr>
                <w:rFonts w:ascii="Circe" w:hAnsi="Circe"/>
                <w:b w:val="1"/>
                <w:sz w:val="23"/>
              </w:rPr>
              <w:t>нацрежимом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в 2025 году</w:t>
            </w:r>
          </w:p>
          <w:p w14:paraId="31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законодательстве по </w:t>
            </w:r>
            <w:r>
              <w:rPr>
                <w:rFonts w:ascii="Circe" w:hAnsi="Circe"/>
                <w:sz w:val="23"/>
              </w:rPr>
              <w:t>нацрежиму</w:t>
            </w:r>
          </w:p>
          <w:p w14:paraId="32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Федеральный закон от 08 августа 2024 года №318-ФЗ «О внесении изменений в отдельные законодательные акты РФ и признании утратившими силу отдельных положений законодательных актов РФ»</w:t>
            </w:r>
          </w:p>
          <w:p w14:paraId="33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Российской Федерации от 23 декабря 2024 года №1875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  <w:p w14:paraId="34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Актуальные изменения в </w:t>
            </w:r>
            <w:r>
              <w:rPr>
                <w:rFonts w:ascii="Circe" w:hAnsi="Circe"/>
                <w:sz w:val="23"/>
              </w:rPr>
              <w:t>нацрежиме</w:t>
            </w:r>
            <w:r>
              <w:rPr>
                <w:rFonts w:ascii="Circe" w:hAnsi="Circe"/>
                <w:sz w:val="23"/>
              </w:rPr>
              <w:t xml:space="preserve"> и их причины </w:t>
            </w:r>
          </w:p>
          <w:p w14:paraId="35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перечня товаров по запретам и ограничениям (приложения 1 и 2 ПП1875)</w:t>
            </w:r>
          </w:p>
          <w:p w14:paraId="36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запретов закупок товаров, происходящих из иностранных государств, в том числе по способам закупок</w:t>
            </w:r>
          </w:p>
          <w:p w14:paraId="37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ограничений закупок товаров, происходящих из иностранных государств</w:t>
            </w:r>
          </w:p>
          <w:p w14:paraId="38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применения правила «второй лишний»</w:t>
            </w:r>
          </w:p>
          <w:p w14:paraId="39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преимуществ в отношении товаров российского происхождения</w:t>
            </w:r>
          </w:p>
          <w:p w14:paraId="3A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применения преимуществ в отношении конкурентных способов закупок</w:t>
            </w:r>
          </w:p>
          <w:p w14:paraId="3B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подтверждения страны происхождения товара в новых условиях</w:t>
            </w:r>
          </w:p>
          <w:p w14:paraId="3C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для отклонения заявки по </w:t>
            </w:r>
            <w:r>
              <w:rPr>
                <w:rFonts w:ascii="Circe" w:hAnsi="Circe"/>
                <w:sz w:val="23"/>
              </w:rPr>
              <w:t>нацрежиму</w:t>
            </w:r>
          </w:p>
          <w:p w14:paraId="3D000000">
            <w:p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контрактной системы в 2026 году</w:t>
            </w:r>
          </w:p>
          <w:p w14:paraId="3E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проведения закупок у единственного поставщика однородных и</w:t>
            </w:r>
            <w:r>
              <w:rPr>
                <w:rFonts w:ascii="Circe" w:hAnsi="Circe"/>
                <w:sz w:val="23"/>
              </w:rPr>
              <w:t>ли</w:t>
            </w:r>
            <w:r>
              <w:rPr>
                <w:rFonts w:ascii="Circe" w:hAnsi="Circe"/>
                <w:sz w:val="23"/>
              </w:rPr>
              <w:t xml:space="preserve"> идентичных товаров</w:t>
            </w:r>
          </w:p>
          <w:p w14:paraId="3F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Декларация в составе заявки участника закупки</w:t>
            </w:r>
          </w:p>
          <w:p w14:paraId="40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Размещение сведений в реестре контрактов по закупкам у единственного поставщика</w:t>
            </w:r>
          </w:p>
          <w:p w14:paraId="41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контрактной системы в 2024 году</w:t>
            </w:r>
          </w:p>
          <w:p w14:paraId="42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</w:t>
            </w:r>
            <w:r>
              <w:rPr>
                <w:rFonts w:ascii="Circe" w:hAnsi="Circe"/>
                <w:sz w:val="23"/>
              </w:rPr>
              <w:t xml:space="preserve"> на обязательное применение машиночитаемых доверенностей</w:t>
            </w:r>
            <w:r>
              <w:rPr>
                <w:rFonts w:ascii="Circe" w:hAnsi="Circe"/>
                <w:sz w:val="23"/>
              </w:rPr>
              <w:t xml:space="preserve">. Особенности применения ключей </w:t>
            </w:r>
            <w:r>
              <w:rPr>
                <w:rFonts w:ascii="Circe" w:hAnsi="Circe"/>
                <w:sz w:val="23"/>
              </w:rPr>
              <w:t>эцп</w:t>
            </w:r>
            <w:r>
              <w:rPr>
                <w:rFonts w:ascii="Circe" w:hAnsi="Circe"/>
                <w:sz w:val="23"/>
              </w:rPr>
              <w:t xml:space="preserve"> с ролью «уполномоченный специалист»</w:t>
            </w:r>
          </w:p>
          <w:p w14:paraId="43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Автоматизация порядка формирования проекта контракта заказчиком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с 1 апреля 2024 года. Сроки перехода на структурированный контракт по способам закупок. Особенности заключения контракта по несостоявшимся процедурам</w:t>
            </w:r>
          </w:p>
          <w:p w14:paraId="44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«Закрытие победителей» с сентября 2024 года </w:t>
            </w:r>
          </w:p>
          <w:p w14:paraId="45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приемки товара с октября 2024 года</w:t>
            </w:r>
          </w:p>
          <w:p w14:paraId="46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макетах независимых гарантиях и </w:t>
            </w:r>
            <w:r>
              <w:rPr>
                <w:rFonts w:ascii="Circe" w:hAnsi="Circe"/>
                <w:sz w:val="23"/>
              </w:rPr>
              <w:t>доптребованиях</w:t>
            </w:r>
            <w:r>
              <w:rPr>
                <w:rFonts w:ascii="Circe" w:hAnsi="Circe"/>
                <w:sz w:val="23"/>
              </w:rPr>
              <w:t xml:space="preserve"> к участникам закупок с октября 2024 года</w:t>
            </w:r>
          </w:p>
          <w:p w14:paraId="47000000">
            <w:pPr>
              <w:pStyle w:val="Style_8"/>
              <w:widowControl w:val="1"/>
              <w:spacing w:line="240" w:lineRule="auto"/>
              <w:ind w:firstLine="0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</w:t>
            </w:r>
            <w:r>
              <w:rPr>
                <w:rFonts w:ascii="Circe" w:hAnsi="Circe"/>
                <w:sz w:val="23"/>
              </w:rPr>
              <w:t xml:space="preserve"> П</w:t>
            </w:r>
            <w:r>
              <w:rPr>
                <w:rFonts w:ascii="Circe" w:hAnsi="Circe"/>
                <w:sz w:val="23"/>
              </w:rPr>
              <w:t>равительства РФ от 23.09.2024 №</w:t>
            </w:r>
            <w:r>
              <w:rPr>
                <w:rFonts w:ascii="Circe" w:hAnsi="Circe"/>
                <w:sz w:val="23"/>
              </w:rPr>
              <w:t>1285</w:t>
            </w:r>
          </w:p>
          <w:p w14:paraId="48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изменения и расторжения контрактов</w:t>
            </w:r>
            <w:r>
              <w:rPr>
                <w:rFonts w:ascii="Circe" w:hAnsi="Circe"/>
                <w:sz w:val="23"/>
              </w:rPr>
              <w:t xml:space="preserve"> через ЕИС</w:t>
            </w:r>
          </w:p>
          <w:p w14:paraId="49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регламенте ФАС по рассмотрению жалоб</w:t>
            </w:r>
          </w:p>
          <w:p w14:paraId="4A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электронном извещении</w:t>
            </w:r>
          </w:p>
          <w:p w14:paraId="4B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Предельные размеры платы за участие в закупке</w:t>
            </w:r>
          </w:p>
          <w:p w14:paraId="4C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04.07.2024 №913</w:t>
            </w:r>
          </w:p>
          <w:p w14:paraId="4D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Маркировка продукции </w:t>
            </w:r>
            <w:r>
              <w:rPr>
                <w:rFonts w:ascii="Circe" w:hAnsi="Circe"/>
                <w:sz w:val="23"/>
              </w:rPr>
              <w:t>в ГИС «Честный знак»</w:t>
            </w:r>
          </w:p>
          <w:p w14:paraId="4E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Цифровые паспорта промышленной продукции</w:t>
            </w:r>
          </w:p>
          <w:p w14:paraId="4F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Новое основание для закупок у единственного поставщика (пункт 6.1 части 1 статьи 93)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0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12:00-12:40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1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2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12:40-15:20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3000000">
            <w:pPr>
              <w:tabs>
                <w:tab w:leader="none" w:pos="461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Описание объекта закупки в структурированном виде </w:t>
            </w:r>
          </w:p>
          <w:p w14:paraId="54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к содержанию извещения. Варианты инструкций по заполнению характеристик. </w:t>
            </w:r>
          </w:p>
          <w:p w14:paraId="55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описании объекта закупки в структурированном виде (</w:t>
            </w:r>
            <w:r>
              <w:rPr>
                <w:rFonts w:ascii="Circe" w:hAnsi="Circe"/>
                <w:sz w:val="23"/>
              </w:rPr>
              <w:t>неуказание</w:t>
            </w:r>
            <w:r>
              <w:rPr>
                <w:rFonts w:ascii="Circe" w:hAnsi="Circe"/>
                <w:sz w:val="23"/>
              </w:rPr>
              <w:t xml:space="preserve"> характеристик, дублирование характеристик в файле, расхождения по характеристикам в извещении и файле). Практика ФАС по жалобам с октября 2023 года</w:t>
            </w:r>
          </w:p>
          <w:p w14:paraId="56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Заявка поставщика в структурированном виде: п</w:t>
            </w:r>
            <w:r>
              <w:rPr>
                <w:rFonts w:ascii="Circe" w:hAnsi="Circe"/>
                <w:sz w:val="23"/>
              </w:rPr>
              <w:t>орядок заполнения характеристик товара</w:t>
            </w:r>
            <w:r>
              <w:rPr>
                <w:rFonts w:ascii="Circe" w:hAnsi="Circe"/>
                <w:sz w:val="23"/>
              </w:rPr>
              <w:t>, заполняемые поля на ЭП, возможность указания разных товаров с одинаковыми характеристиками. Ч</w:t>
            </w:r>
            <w:r>
              <w:rPr>
                <w:rFonts w:ascii="Circe" w:hAnsi="Circe"/>
                <w:sz w:val="23"/>
              </w:rPr>
              <w:t>то и как проверяет ЭП</w:t>
            </w:r>
            <w:r>
              <w:rPr>
                <w:rFonts w:ascii="Circe" w:hAnsi="Circe"/>
                <w:sz w:val="23"/>
              </w:rPr>
              <w:t xml:space="preserve"> при заполнении заявки</w:t>
            </w:r>
            <w:r>
              <w:rPr>
                <w:rFonts w:ascii="Circe" w:hAnsi="Circe"/>
                <w:sz w:val="23"/>
              </w:rPr>
              <w:t>. Типичные ошибки поставщиков по структурированным заявкам</w:t>
            </w:r>
          </w:p>
          <w:p w14:paraId="57000000">
            <w:pPr>
              <w:pStyle w:val="Style_8"/>
              <w:widowControl w:val="1"/>
              <w:spacing w:line="240" w:lineRule="auto"/>
              <w:ind/>
              <w:jc w:val="both"/>
              <w:rPr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Виды и способы осуществления закупок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58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Унификация, </w:t>
            </w:r>
            <w:r>
              <w:rPr>
                <w:rFonts w:ascii="Circe" w:hAnsi="Circe"/>
                <w:sz w:val="23"/>
              </w:rPr>
              <w:t>цифровизация</w:t>
            </w:r>
            <w:r>
              <w:rPr>
                <w:rFonts w:ascii="Circe" w:hAnsi="Circe"/>
                <w:sz w:val="23"/>
              </w:rPr>
              <w:t>, автоматизация процесса закупки</w:t>
            </w:r>
            <w:r>
              <w:rPr>
                <w:rFonts w:ascii="Circe" w:hAnsi="Circe"/>
                <w:sz w:val="23"/>
              </w:rPr>
              <w:t xml:space="preserve"> с 2022 года</w:t>
            </w:r>
          </w:p>
          <w:p w14:paraId="59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открытых конкурентных способов закупки: 1) электронный конкурс, 2) электронный аукцион, 3) электронный запрос котировок.</w:t>
            </w:r>
          </w:p>
          <w:p w14:paraId="5A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Перечень закрытых конкурентных закупок: </w:t>
            </w:r>
            <w:r>
              <w:rPr>
                <w:rFonts w:ascii="Circe" w:hAnsi="Circe"/>
                <w:sz w:val="23"/>
              </w:rPr>
              <w:t xml:space="preserve">1) </w:t>
            </w:r>
            <w:r>
              <w:rPr>
                <w:rFonts w:ascii="Circe" w:hAnsi="Circe"/>
                <w:sz w:val="23"/>
              </w:rPr>
              <w:t>закрытый конкурс, 2) закрытый электронный конкурс, 3) закрытый аукцион, 4) закрытый электронный аукцион</w:t>
            </w:r>
          </w:p>
          <w:p w14:paraId="5B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Неконкурентный способ закупки: закупка у единственного поставщика, малые электронные закупки</w:t>
            </w:r>
          </w:p>
          <w:p w14:paraId="5C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выбора способа закупки и сравнение закупочных процедур. </w:t>
            </w:r>
          </w:p>
          <w:p w14:paraId="5D000000">
            <w:pPr>
              <w:pStyle w:val="Style_13"/>
              <w:tabs>
                <w:tab w:leader="none" w:pos="385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21 марта 2016 года №471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«Об утверждении перечня товаров, работ, услуг, в случае осуществления закупки которых заказчик обязан проводить электронный аукцион»</w:t>
            </w:r>
          </w:p>
          <w:p w14:paraId="5E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применения запроса котировок вне предельных объемов. </w:t>
            </w:r>
          </w:p>
          <w:p w14:paraId="5F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и </w:t>
            </w:r>
            <w:r>
              <w:rPr>
                <w:rFonts w:ascii="Circe" w:hAnsi="Circe"/>
                <w:sz w:val="23"/>
              </w:rPr>
              <w:t>порядок проведения закрытых закупок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>Новый перечень закрытых электронных площадок</w:t>
            </w:r>
          </w:p>
          <w:p w14:paraId="60000000">
            <w:pPr>
              <w:pStyle w:val="Style_13"/>
              <w:tabs>
                <w:tab w:leader="none" w:pos="385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23 ноября 2022 года №3574-р</w:t>
            </w:r>
          </w:p>
          <w:p w14:paraId="61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ЭП при проведении электронных способов закупок</w:t>
            </w:r>
            <w:r>
              <w:rPr>
                <w:rStyle w:val="Style_12_ch"/>
                <w:b w:val="1"/>
                <w:sz w:val="23"/>
              </w:rPr>
              <w:t xml:space="preserve"> </w:t>
            </w:r>
          </w:p>
          <w:p w14:paraId="62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Извещение закупочной процедуры </w:t>
            </w:r>
          </w:p>
          <w:p w14:paraId="63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Единая форма извещения для всех способов закупок </w:t>
            </w:r>
          </w:p>
          <w:p w14:paraId="64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Отсутствие документации в открытых закупках</w:t>
            </w:r>
          </w:p>
          <w:p w14:paraId="65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определения приоритета информации, указанной в извещении и ЕИС</w:t>
            </w:r>
          </w:p>
          <w:p w14:paraId="66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извещения об осуществлении закупки </w:t>
            </w:r>
            <w:r>
              <w:rPr>
                <w:rFonts w:ascii="Circe" w:hAnsi="Circe"/>
                <w:sz w:val="23"/>
              </w:rPr>
              <w:t>согласно статье 42</w:t>
            </w:r>
          </w:p>
          <w:p w14:paraId="67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Приложения к извещению: описание объекта закупки, обоснование НМЦ, требования к содержанию и составу заявки поставщика, инструкция по заполнению заявки, порядок рассмотрения оценки заявок в конкурсе, проект контракта, дополнительные требования</w:t>
            </w:r>
          </w:p>
          <w:p w14:paraId="68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Расширенная форма извещения</w:t>
            </w:r>
            <w:r>
              <w:rPr>
                <w:rFonts w:ascii="Circe" w:hAnsi="Circe"/>
                <w:sz w:val="23"/>
              </w:rPr>
              <w:t xml:space="preserve"> как основа для электронной заявки участника закупки</w:t>
            </w:r>
          </w:p>
          <w:p w14:paraId="69000000">
            <w:pPr>
              <w:tabs>
                <w:tab w:leader="none" w:pos="284" w:val="left"/>
              </w:tabs>
              <w:ind/>
              <w:jc w:val="both"/>
              <w:rPr>
                <w:rStyle w:val="Style_12_ch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</w:p>
          <w:p w14:paraId="6A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подачи заявок </w:t>
            </w:r>
            <w:r>
              <w:rPr>
                <w:rFonts w:ascii="Circe" w:hAnsi="Circe"/>
                <w:b w:val="1"/>
                <w:sz w:val="23"/>
              </w:rPr>
              <w:t xml:space="preserve">и внесения изменений </w:t>
            </w:r>
            <w:r>
              <w:rPr>
                <w:rFonts w:ascii="Circe" w:hAnsi="Circe"/>
                <w:b w:val="1"/>
                <w:sz w:val="23"/>
              </w:rPr>
              <w:t>по закупочным процедурам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6B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исчисления сроков по календарным и рабочим дням</w:t>
            </w:r>
            <w:r>
              <w:rPr>
                <w:rFonts w:ascii="Circe" w:hAnsi="Circe"/>
                <w:sz w:val="23"/>
              </w:rPr>
              <w:t>: новации при проведении конкурса</w:t>
            </w:r>
          </w:p>
          <w:p w14:paraId="6C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внесения изменений по открытым и закрытым закупкам</w:t>
            </w:r>
          </w:p>
          <w:p w14:paraId="6D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изменений, которые не допускается вносить</w:t>
            </w:r>
          </w:p>
          <w:p w14:paraId="6E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Новации </w:t>
            </w:r>
            <w:r>
              <w:rPr>
                <w:rFonts w:ascii="Circe" w:hAnsi="Circe"/>
                <w:sz w:val="23"/>
              </w:rPr>
              <w:t>при  продлении</w:t>
            </w:r>
            <w:r>
              <w:rPr>
                <w:rFonts w:ascii="Circe" w:hAnsi="Circe"/>
                <w:sz w:val="23"/>
              </w:rPr>
              <w:t xml:space="preserve"> сроков подачи заявок участниками закупок при внесении изменений в аукционах и конкурсах</w:t>
            </w:r>
          </w:p>
          <w:p w14:paraId="6F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отмены конкурентных закупок на этапе подачи заявок</w:t>
            </w:r>
          </w:p>
          <w:p w14:paraId="70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подачи запросов на разъяснения участниками закупок при проведении аукциона и конкурса. Регламентированные </w:t>
            </w:r>
            <w:r>
              <w:rPr>
                <w:rFonts w:ascii="Circe" w:hAnsi="Circe"/>
                <w:sz w:val="23"/>
              </w:rPr>
              <w:t>сроки  ответа</w:t>
            </w:r>
            <w:r>
              <w:rPr>
                <w:rFonts w:ascii="Circe" w:hAnsi="Circe"/>
                <w:sz w:val="23"/>
              </w:rPr>
              <w:t xml:space="preserve"> заказчика при поступлении запроса на разъяснение</w:t>
            </w:r>
          </w:p>
          <w:p w14:paraId="71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подписания контракта по закупочным процедурам </w:t>
            </w:r>
          </w:p>
          <w:p w14:paraId="72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 xml:space="preserve">орядок заключения контрактов при проведении </w:t>
            </w:r>
            <w:r>
              <w:rPr>
                <w:rFonts w:ascii="Circe" w:hAnsi="Circe"/>
                <w:sz w:val="23"/>
              </w:rPr>
              <w:t>конкурентных способов</w:t>
            </w:r>
          </w:p>
          <w:p w14:paraId="73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сроках заключения контракта со стороны заказчика и поставщика. Новый порядок применения календарных и рабочих дней</w:t>
            </w:r>
          </w:p>
          <w:p w14:paraId="74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проверки участника при заключении контракта</w:t>
            </w:r>
          </w:p>
          <w:p w14:paraId="75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заключения контракт у второго и третьего участника в случае уклонения победителя от заключения контракта. Порядок заключения контракта со вторым и третьим участником</w:t>
            </w:r>
          </w:p>
          <w:p w14:paraId="76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заключения контракта со вторым участником на этапе исполнения без включения победителя в РНП</w:t>
            </w:r>
          </w:p>
          <w:p w14:paraId="77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Действия заказчика при уклонении победителя от заключения контракта</w:t>
            </w:r>
          </w:p>
          <w:p w14:paraId="78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Сокращение сроков реагирования по протоколу разногласий</w:t>
            </w:r>
          </w:p>
          <w:p w14:paraId="79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Протокол разногласий при проведении </w:t>
            </w:r>
            <w:r>
              <w:rPr>
                <w:rFonts w:ascii="Circe" w:hAnsi="Circe"/>
                <w:sz w:val="23"/>
              </w:rPr>
              <w:t>аукциона и конкурса</w:t>
            </w:r>
            <w:r>
              <w:rPr>
                <w:rFonts w:ascii="Circe" w:hAnsi="Circe"/>
                <w:sz w:val="23"/>
              </w:rPr>
              <w:t>: правила оформления и  исчисления сроков, аргументы подачи протокола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7A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15:20-15:40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7B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15:40-17:2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D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Состав заявки поставщика </w:t>
            </w:r>
            <w:r>
              <w:rPr>
                <w:rFonts w:ascii="Circe" w:hAnsi="Circe"/>
                <w:b w:val="1"/>
                <w:sz w:val="23"/>
              </w:rPr>
              <w:t xml:space="preserve">и требования к поставщикам </w:t>
            </w:r>
            <w:r>
              <w:rPr>
                <w:rFonts w:ascii="Circe" w:hAnsi="Circe"/>
                <w:b w:val="1"/>
                <w:sz w:val="23"/>
              </w:rPr>
              <w:t xml:space="preserve">по закупочным процедурам </w:t>
            </w:r>
          </w:p>
          <w:p w14:paraId="7E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Унифицированные требования к составу заявки поставщика по всем конкурентным способам закупок (аукцион, конкурс, запрос котировок): информация об участнике закупки, информация о предлагаемом ТРУ, ценовое предложение участника закупки, документы о соответствии национальному режиму</w:t>
            </w:r>
          </w:p>
          <w:p w14:paraId="7F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заявки поставщика согласно статье 43. Особенности синхронизации данных с ЕИС</w:t>
            </w:r>
          </w:p>
          <w:p w14:paraId="80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требований к участнику закупки согласно статье 31: единые обязательные требования, универсальная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, 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</w:p>
          <w:p w14:paraId="81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29 декабря 2021 года №2571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требованиям…»</w:t>
            </w:r>
          </w:p>
          <w:p w14:paraId="82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на основании части 2 статьи 31: особенности прохождения поставщиком аккредитации на ЭП, требования к опыту. Анализ случаев отклонения заявок заказчиками, практика ФАС</w:t>
            </w:r>
          </w:p>
          <w:p w14:paraId="83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Универсальная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поставщиков по части 2.1 статьи 31 – обязательное предоставление опыта в закупках с НЦМК от 20 млн. рублей. </w:t>
            </w:r>
          </w:p>
          <w:p w14:paraId="84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Реестровая</w:t>
            </w:r>
            <w:r>
              <w:rPr>
                <w:rFonts w:ascii="Circe" w:hAnsi="Circe"/>
                <w:sz w:val="23"/>
              </w:rPr>
              <w:t xml:space="preserve"> модель лицензирования</w:t>
            </w:r>
          </w:p>
          <w:p w14:paraId="85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ведения реестра участника и аккредитации на электронных площадках</w:t>
            </w:r>
          </w:p>
          <w:p w14:paraId="86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>снования возврата заявки участника оператором электронной площадки</w:t>
            </w:r>
          </w:p>
          <w:p w14:paraId="87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поставщика на этапе подведения итого закупки: случаи применения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88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Способы закупок</w:t>
            </w:r>
          </w:p>
          <w:p w14:paraId="89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Аукцион в электронной форме </w:t>
            </w:r>
          </w:p>
          <w:p w14:paraId="8A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единой заявки участника</w:t>
            </w:r>
          </w:p>
          <w:p w14:paraId="8B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проведения электронного аукциона: анализ заявки поставщика после аукциона. Автоматический допуск всех участников закупки</w:t>
            </w:r>
          </w:p>
          <w:p w14:paraId="8C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Алгоритм проведения торга в электронном аукционе: через 2 часа после окончания подачи заявок, ценовые предложения не реже, чем 1 раз в 4 </w:t>
            </w:r>
            <w:r>
              <w:rPr>
                <w:rFonts w:ascii="Circe" w:hAnsi="Circe"/>
                <w:sz w:val="23"/>
              </w:rPr>
              <w:t>минуты,  общая</w:t>
            </w:r>
            <w:r>
              <w:rPr>
                <w:rFonts w:ascii="Circe" w:hAnsi="Circe"/>
                <w:sz w:val="23"/>
              </w:rPr>
              <w:t xml:space="preserve"> продолжительность аукциона не более 5 часов</w:t>
            </w:r>
          </w:p>
          <w:p w14:paraId="8D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рассмотрения заявок и подведения итогов комиссией заказчика</w:t>
            </w:r>
          </w:p>
          <w:p w14:paraId="8E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у ряда участников после публикации итогового протокола</w:t>
            </w:r>
          </w:p>
          <w:p w14:paraId="8F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Преимущества и недостатки нового электронного аукциона</w:t>
            </w:r>
          </w:p>
          <w:p w14:paraId="90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Конкурс в электронной форме </w:t>
            </w:r>
          </w:p>
          <w:p w14:paraId="91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Разделение заявки поставщика на 3 части</w:t>
            </w:r>
          </w:p>
          <w:p w14:paraId="92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проведения этапов электронного конкурса</w:t>
            </w:r>
          </w:p>
          <w:p w14:paraId="93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рассмотрения заявок поставщика комиссией заказчика</w:t>
            </w:r>
          </w:p>
          <w:p w14:paraId="94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оценки заявок</w:t>
            </w:r>
          </w:p>
          <w:p w14:paraId="95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31 декабря 2021 года №2604 «Об оценке заявок на участие в закупке товаров, работ, услуг для обеспечения государственных и муниципальных нужд»</w:t>
            </w:r>
          </w:p>
          <w:p w14:paraId="96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рассмотрении заявок поставщиков</w:t>
            </w:r>
          </w:p>
          <w:p w14:paraId="97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Запрос котировок</w:t>
            </w:r>
            <w:r>
              <w:rPr>
                <w:rFonts w:ascii="Circe" w:hAnsi="Circe"/>
                <w:b w:val="1"/>
                <w:sz w:val="23"/>
              </w:rPr>
              <w:t xml:space="preserve"> в электронной форме</w:t>
            </w:r>
          </w:p>
          <w:p w14:paraId="98000000">
            <w:pPr>
              <w:pStyle w:val="Style_13"/>
              <w:numPr>
                <w:ilvl w:val="0"/>
                <w:numId w:val="1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Увеличение предельного значения НМЦК при проведении запроса котировок до 10 млн. рублей. Отсутствие СГОЗ при </w:t>
            </w:r>
            <w:r>
              <w:rPr>
                <w:rFonts w:ascii="Circe" w:hAnsi="Circe"/>
                <w:sz w:val="23"/>
              </w:rPr>
              <w:t>проведении  запроса</w:t>
            </w:r>
            <w:r>
              <w:rPr>
                <w:rFonts w:ascii="Circe" w:hAnsi="Circe"/>
                <w:sz w:val="23"/>
              </w:rPr>
              <w:t xml:space="preserve"> котировок до 31.12.2026</w:t>
            </w:r>
          </w:p>
          <w:p w14:paraId="99000000">
            <w:pPr>
              <w:pStyle w:val="Style_13"/>
              <w:numPr>
                <w:ilvl w:val="0"/>
                <w:numId w:val="1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проведения запроса котировок</w:t>
            </w:r>
          </w:p>
          <w:p w14:paraId="9A000000">
            <w:pPr>
              <w:pStyle w:val="Style_13"/>
              <w:numPr>
                <w:ilvl w:val="0"/>
                <w:numId w:val="1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запроса котировок на этапе подписания и исполнения контракта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B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17:2</w:t>
            </w:r>
            <w:r>
              <w:rPr>
                <w:rStyle w:val="Style_11_ch"/>
                <w:rFonts w:ascii="Circe" w:hAnsi="Circe"/>
                <w:sz w:val="20"/>
              </w:rPr>
              <w:t>0-17:45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C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Закупка</w:t>
            </w:r>
            <w:r>
              <w:rPr>
                <w:rFonts w:ascii="Circe" w:hAnsi="Circe"/>
                <w:b w:val="1"/>
                <w:sz w:val="23"/>
              </w:rPr>
              <w:t xml:space="preserve"> у единственного поставщика</w:t>
            </w:r>
          </w:p>
          <w:p w14:paraId="9D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оснований для применения 93 статьи</w:t>
            </w:r>
          </w:p>
          <w:p w14:paraId="9E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закупок малого объема по пунктам 4 и 5 части 1 статьи 93 с НМЦК до 600 тысяч рублей </w:t>
            </w:r>
          </w:p>
          <w:p w14:paraId="9F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Практика применения закупок малого объема с НМЦК до </w:t>
            </w:r>
            <w:r>
              <w:rPr>
                <w:rFonts w:ascii="Circe" w:hAnsi="Circe"/>
                <w:sz w:val="23"/>
              </w:rPr>
              <w:t>5</w:t>
            </w:r>
            <w:r>
              <w:rPr>
                <w:rFonts w:ascii="Circe" w:hAnsi="Circe"/>
                <w:sz w:val="23"/>
              </w:rPr>
              <w:t>-х млн. рублей на основании части 12 статьи 93. Особенности учета СГОЗ</w:t>
            </w:r>
          </w:p>
          <w:p w14:paraId="A0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Электронные магазины малых закупок: особенности подачи заявок и заключения контракта</w:t>
            </w:r>
          </w:p>
          <w:p w14:paraId="A1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регламентов ЭП ЕАТ «Березка», Портал поставщиков </w:t>
            </w:r>
            <w:r>
              <w:rPr>
                <w:rFonts w:ascii="Circe" w:hAnsi="Circe"/>
                <w:sz w:val="23"/>
              </w:rPr>
              <w:t>г.Москвы</w:t>
            </w:r>
          </w:p>
          <w:p w14:paraId="A2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Электронное актирование </w:t>
            </w:r>
          </w:p>
          <w:p w14:paraId="A3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Право и обязанность оформления электронного акта: анализ случаев применения</w:t>
            </w:r>
          </w:p>
          <w:p w14:paraId="A4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Виды электронных документов о приемке в ЕИС</w:t>
            </w:r>
            <w:r>
              <w:rPr>
                <w:rFonts w:ascii="Circe" w:hAnsi="Circe"/>
                <w:sz w:val="23"/>
              </w:rPr>
              <w:t xml:space="preserve">: документ о приемке, счет-фактура, </w:t>
            </w:r>
            <w:r>
              <w:rPr>
                <w:rFonts w:ascii="Circe" w:hAnsi="Circe"/>
                <w:sz w:val="23"/>
              </w:rPr>
              <w:t>упд</w:t>
            </w:r>
          </w:p>
          <w:p w14:paraId="A5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Структурированные формы</w:t>
            </w:r>
            <w:r>
              <w:rPr>
                <w:rFonts w:ascii="Circe" w:hAnsi="Circe"/>
                <w:sz w:val="23"/>
              </w:rPr>
              <w:t xml:space="preserve"> документа о приемке в ЕИС</w:t>
            </w:r>
            <w:r>
              <w:rPr>
                <w:rFonts w:ascii="Circe" w:hAnsi="Circe"/>
                <w:sz w:val="23"/>
              </w:rPr>
              <w:t xml:space="preserve">: основные и дополнительные разделы для заполнения </w:t>
            </w:r>
          </w:p>
          <w:p w14:paraId="A6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оформления электронного акта заказчиком и поставщиком на основании части 13 статьи 94</w:t>
            </w:r>
          </w:p>
          <w:p w14:paraId="A7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Руководство пользователя поставщика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A8000000">
            <w:pPr>
              <w:pStyle w:val="Style_8"/>
              <w:widowControl w:val="1"/>
              <w:numPr>
                <w:ilvl w:val="0"/>
                <w:numId w:val="6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Случаи, при которых заказчик не примет электронный документ от поставщика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A9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17:45-18:00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AA00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Окончание </w:t>
            </w:r>
            <w:r>
              <w:rPr>
                <w:rFonts w:ascii="Circe" w:hAnsi="Circe"/>
                <w:b w:val="1"/>
                <w:sz w:val="23"/>
              </w:rPr>
              <w:t xml:space="preserve">первого дня </w:t>
            </w:r>
            <w:r>
              <w:rPr>
                <w:rFonts w:ascii="Circe" w:hAnsi="Circe"/>
                <w:b w:val="1"/>
                <w:sz w:val="23"/>
              </w:rPr>
              <w:t xml:space="preserve">семинара.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Ответы на вопросы. 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AB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AC00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center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Второй день семинара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AD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AE00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AF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B0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Единая информационная система</w:t>
            </w:r>
            <w:r>
              <w:rPr>
                <w:rFonts w:ascii="Circe" w:hAnsi="Circe"/>
                <w:b w:val="1"/>
                <w:sz w:val="23"/>
              </w:rPr>
              <w:t>, ЭП</w:t>
            </w:r>
          </w:p>
          <w:p w14:paraId="B1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</w:t>
            </w:r>
            <w:r>
              <w:rPr>
                <w:rFonts w:ascii="Circe" w:hAnsi="Circe"/>
                <w:sz w:val="23"/>
              </w:rPr>
              <w:t xml:space="preserve"> ЕИС 2024</w:t>
            </w:r>
            <w:r>
              <w:rPr>
                <w:rFonts w:ascii="Circe" w:hAnsi="Circe"/>
                <w:sz w:val="23"/>
              </w:rPr>
              <w:t>-202</w:t>
            </w:r>
            <w:r>
              <w:rPr>
                <w:rFonts w:ascii="Circe" w:hAnsi="Circe"/>
                <w:sz w:val="23"/>
              </w:rPr>
              <w:t>5</w:t>
            </w:r>
            <w:r>
              <w:rPr>
                <w:rFonts w:ascii="Circe" w:hAnsi="Circe"/>
                <w:sz w:val="23"/>
              </w:rPr>
              <w:t xml:space="preserve"> годов</w:t>
            </w:r>
          </w:p>
          <w:p w14:paraId="B2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Разделы и информация ЕИС – возможности для поставщиков. </w:t>
            </w:r>
          </w:p>
          <w:p w14:paraId="B3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Личный кабинет поставщика</w:t>
            </w:r>
            <w:r>
              <w:rPr>
                <w:rFonts w:ascii="Circe" w:hAnsi="Circe"/>
                <w:sz w:val="23"/>
              </w:rPr>
              <w:t>: аккредитация в ЕИС, реестр банковских гарантий, электронное актирование, электронная подача жалобы, одностороннее расторжение контракта, претензионная работа. Отсутствие возможности обновления документов поставщика в ЛК</w:t>
            </w:r>
          </w:p>
          <w:p w14:paraId="B4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Независимый регистратор: </w:t>
            </w:r>
            <w:r>
              <w:rPr>
                <w:rFonts w:ascii="Circe" w:hAnsi="Circe"/>
                <w:sz w:val="23"/>
              </w:rPr>
              <w:t>видео</w:t>
            </w:r>
            <w:r>
              <w:rPr>
                <w:rFonts w:ascii="Circe" w:hAnsi="Circe"/>
                <w:sz w:val="23"/>
              </w:rPr>
              <w:t>фиксация</w:t>
            </w:r>
            <w:r>
              <w:rPr>
                <w:rFonts w:ascii="Circe" w:hAnsi="Circe"/>
                <w:sz w:val="23"/>
              </w:rPr>
              <w:t xml:space="preserve"> действий в ЕИС и на ЭП</w:t>
            </w:r>
          </w:p>
          <w:p w14:paraId="B5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Региональные порталы для поставщиков, электронные магазины</w:t>
            </w:r>
            <w:r>
              <w:rPr>
                <w:rFonts w:ascii="Circe" w:hAnsi="Circe"/>
                <w:sz w:val="23"/>
              </w:rPr>
              <w:t>. Особенности участия поставщиков</w:t>
            </w:r>
          </w:p>
          <w:p w14:paraId="B6000000">
            <w:pPr>
              <w:pStyle w:val="Style_13"/>
              <w:numPr>
                <w:ilvl w:val="0"/>
                <w:numId w:val="7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Единый </w:t>
            </w:r>
            <w:r>
              <w:rPr>
                <w:rFonts w:ascii="Circe" w:hAnsi="Circe"/>
                <w:sz w:val="23"/>
              </w:rPr>
              <w:t>агрегатор</w:t>
            </w:r>
            <w:r>
              <w:rPr>
                <w:rFonts w:ascii="Circe" w:hAnsi="Circe"/>
                <w:sz w:val="23"/>
              </w:rPr>
              <w:t xml:space="preserve"> торговли (ЕАТ) для федеральных заказчиков</w:t>
            </w:r>
          </w:p>
          <w:p w14:paraId="B7000000">
            <w:pPr>
              <w:pStyle w:val="Style_13"/>
              <w:numPr>
                <w:ilvl w:val="0"/>
                <w:numId w:val="7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Специализированные электронные площадки (СЭП) для проведения закрытых закупок: АСТ-ГОЗ, </w:t>
            </w:r>
            <w:r>
              <w:rPr>
                <w:rFonts w:ascii="Circe" w:hAnsi="Circe"/>
                <w:sz w:val="23"/>
              </w:rPr>
              <w:t>ГПб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ЗаказРФ</w:t>
            </w:r>
            <w:r>
              <w:rPr>
                <w:rFonts w:ascii="Circe" w:hAnsi="Circe"/>
                <w:sz w:val="23"/>
              </w:rPr>
              <w:t xml:space="preserve"> (Татарстан)</w:t>
            </w:r>
          </w:p>
          <w:p w14:paraId="B8000000">
            <w:pPr>
              <w:pStyle w:val="Style_13"/>
              <w:numPr>
                <w:ilvl w:val="0"/>
                <w:numId w:val="7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Электронный документооборот в контрактной системе</w:t>
            </w:r>
          </w:p>
          <w:p w14:paraId="B9000000">
            <w:pPr>
              <w:pStyle w:val="Style_13"/>
              <w:numPr>
                <w:ilvl w:val="0"/>
                <w:numId w:val="7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размещения в реестре контрактов информации и документов. Новый параметр поиска в реестре контрактов ЕИС</w:t>
            </w:r>
          </w:p>
          <w:p w14:paraId="BA000000">
            <w:pPr>
              <w:widowControl w:val="1"/>
              <w:tabs>
                <w:tab w:leader="none" w:pos="0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</w:t>
            </w:r>
            <w:r>
              <w:rPr>
                <w:rFonts w:ascii="Circe" w:hAnsi="Circe"/>
                <w:b w:val="1"/>
                <w:sz w:val="23"/>
              </w:rPr>
              <w:t>Мониторинг закупок в единой информационной системе</w:t>
            </w:r>
          </w:p>
          <w:p w14:paraId="BB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платных и бесплатных программ для поиска закупок</w:t>
            </w:r>
          </w:p>
          <w:p w14:paraId="BC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Эффективный поиск процедур в ЕИС</w:t>
            </w:r>
          </w:p>
          <w:p w14:paraId="BD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Расширенный поиск по словам, кодам ОКПД2, выгрузка результатов, подписка на </w:t>
            </w:r>
            <w:r>
              <w:rPr>
                <w:rFonts w:ascii="Circe" w:hAnsi="Circe"/>
                <w:sz w:val="23"/>
              </w:rPr>
              <w:t>RSS</w:t>
            </w:r>
            <w:r>
              <w:rPr>
                <w:rFonts w:ascii="Circe" w:hAnsi="Circe"/>
                <w:sz w:val="23"/>
              </w:rPr>
              <w:t>-ленту, поиск участия поставщика в закупках</w:t>
            </w:r>
          </w:p>
          <w:p w14:paraId="BE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</w:t>
            </w:r>
            <w:r>
              <w:rPr>
                <w:rFonts w:ascii="Circe" w:hAnsi="Circe"/>
                <w:sz w:val="23"/>
              </w:rPr>
              <w:t xml:space="preserve"> каталога товаров, работ и услуг </w:t>
            </w:r>
            <w:r>
              <w:rPr>
                <w:rFonts w:ascii="Circe" w:hAnsi="Circe"/>
                <w:sz w:val="23"/>
              </w:rPr>
              <w:t>(КТРУ)</w:t>
            </w:r>
          </w:p>
          <w:p w14:paraId="BF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мониторинге торгов</w:t>
            </w:r>
          </w:p>
          <w:p w14:paraId="C0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Описание объекта закупки </w:t>
            </w:r>
          </w:p>
          <w:p w14:paraId="C1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Новые требования к описанию объекта закупки </w:t>
            </w:r>
            <w:r>
              <w:rPr>
                <w:rFonts w:ascii="Circe" w:hAnsi="Circe"/>
                <w:sz w:val="23"/>
              </w:rPr>
              <w:t>с учетом структурированных характеристик</w:t>
            </w:r>
          </w:p>
          <w:p w14:paraId="C2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инструкций по заполнению заявок в структурированном виде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C3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Понятие «начальная сумма цен единиц товара, работы, услуги». Порядок проведения закупки и исполнения контракта при невозможности определения объема или количества товара, работы, услуги</w:t>
            </w:r>
          </w:p>
          <w:p w14:paraId="C4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Наименование объекта закупки не требуется указывать в соответствии с каталогом товаров, работ, услуг (КТРУ)</w:t>
            </w:r>
            <w:r>
              <w:rPr>
                <w:rFonts w:ascii="Circe" w:hAnsi="Circe"/>
                <w:sz w:val="23"/>
              </w:rPr>
              <w:t>. Типичные ошибки заказчиков при применении КТРУ</w:t>
            </w:r>
          </w:p>
          <w:p w14:paraId="C5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Случаи, когда нельзя добавлять дополнительные характеристики</w:t>
            </w:r>
          </w:p>
          <w:p w14:paraId="C6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описанию товаров и материалов, в том числе при выполнении работ и оказании услуг в соответствии с 33 статьей. Объем и содержание технического задания</w:t>
            </w:r>
          </w:p>
          <w:p w14:paraId="C7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Применение законодательства о стандартизации при описании объекта закупки </w:t>
            </w:r>
          </w:p>
          <w:p w14:paraId="C8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Подготовка заказчиками технического задания, локальных смет, ресурсных ведомостей. Анализ типичных ошибок заказчиков</w:t>
            </w:r>
          </w:p>
          <w:p w14:paraId="C9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Применение понятий, используемых в показателях материалов: максимальные и (или) минимальные значения параметров, конкретные, достоверные и пограничные значения характеристик товара, использование словосочетаний заказчиком</w:t>
            </w:r>
          </w:p>
          <w:p w14:paraId="CA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Показатели товаров: изменяемые (диапазонные) и неизменяемые (конкретные)</w:t>
            </w:r>
          </w:p>
          <w:p w14:paraId="CB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о соответствии объекта закупки конкретным нормативным актам (ГОСТ, </w:t>
            </w:r>
            <w:r>
              <w:rPr>
                <w:rFonts w:ascii="Circe" w:hAnsi="Circe"/>
                <w:sz w:val="23"/>
              </w:rPr>
              <w:t>СниП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СанПин</w:t>
            </w:r>
            <w:r>
              <w:rPr>
                <w:rFonts w:ascii="Circe" w:hAnsi="Circe"/>
                <w:sz w:val="23"/>
              </w:rPr>
              <w:t>, технические регламенты).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Типичные ошибки заказчиков при использовании стандартов </w:t>
            </w:r>
          </w:p>
          <w:p w14:paraId="CC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Описание характеристик и показателей товара, значения которых становятся известными при испытании после его производства. Объем детализации характеристик товара.</w:t>
            </w:r>
          </w:p>
          <w:p w14:paraId="CD000000">
            <w:pPr>
              <w:tabs>
                <w:tab w:leader="none" w:pos="284" w:val="left"/>
              </w:tabs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контрольных органов при рассмотрении подобных жалоб. Защита технического задания в Арбитражном суде</w:t>
            </w:r>
          </w:p>
          <w:p w14:paraId="CE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Товарный знак и эквивалентность товара, указание параметров эквивалентности. Типичные «ловушки» заказчиков при указании товарного знака. Требования антимонопольных органов</w:t>
            </w:r>
          </w:p>
          <w:p w14:paraId="CF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Ошибки заказчиков при описании объекта закупки: установление нестандартных показателей, показателей, не предусмотренных законом, отсутствие показателей объекта закупки, некорректное указание единиц измерения </w:t>
            </w:r>
          </w:p>
          <w:p w14:paraId="D0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Допуск участников закупки для ознакомления с объектом – позиция ФАС и Минфина</w:t>
            </w:r>
          </w:p>
          <w:p w14:paraId="D1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формирования лотов заказчиками</w:t>
            </w:r>
          </w:p>
          <w:p w14:paraId="D2000000">
            <w:pPr>
              <w:numPr>
                <w:ilvl w:val="0"/>
                <w:numId w:val="7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объединения в один лот закупок и «разбивки» заказов: поставка товара и выполнение работ, объединение </w:t>
            </w:r>
            <w:r>
              <w:rPr>
                <w:rFonts w:ascii="Circe" w:hAnsi="Circe"/>
                <w:sz w:val="23"/>
              </w:rPr>
              <w:t>разнолицензируемых</w:t>
            </w:r>
            <w:r>
              <w:rPr>
                <w:rFonts w:ascii="Circe" w:hAnsi="Circe"/>
                <w:sz w:val="23"/>
              </w:rPr>
              <w:t xml:space="preserve"> работ, услуг в составе закупки. Требования антимонопольного законодательства ФЗ-135 при проведении торгов (ограничение конкуренции)</w:t>
            </w:r>
          </w:p>
          <w:p w14:paraId="D3000000">
            <w:pPr>
              <w:pStyle w:val="Style_13"/>
              <w:numPr>
                <w:ilvl w:val="0"/>
                <w:numId w:val="7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Экологические требования при описании объекта закупки</w:t>
            </w:r>
          </w:p>
          <w:p w14:paraId="D4000000">
            <w:pPr>
              <w:pStyle w:val="Style_13"/>
              <w:tabs>
                <w:tab w:leader="none" w:pos="461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Российской Федерации от 8 июля 2022 года №1224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D5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12:00-12:40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D6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D7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12:40-15:20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D8000000">
            <w:pPr>
              <w:widowControl w:val="1"/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Национальный режим</w:t>
            </w:r>
          </w:p>
          <w:p w14:paraId="D9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применения правила «второй лишний»</w:t>
            </w:r>
          </w:p>
          <w:p w14:paraId="DA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Реестры </w:t>
            </w:r>
            <w:r>
              <w:rPr>
                <w:rFonts w:ascii="Circe" w:hAnsi="Circe"/>
                <w:sz w:val="23"/>
              </w:rPr>
              <w:t>РРПП/ЕРПТ</w:t>
            </w:r>
            <w:r>
              <w:rPr>
                <w:rFonts w:ascii="Circe" w:hAnsi="Circe"/>
                <w:sz w:val="23"/>
              </w:rPr>
              <w:t>, каталог ГИСП. Информация для заказчика при анализе заявок. Сложные вопросы: коды ОКПД-2, товарные знаки, срок действия выписок</w:t>
            </w:r>
          </w:p>
          <w:p w14:paraId="DB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радиоэлектронной продукции по ПП 878: первый и второй уровни</w:t>
            </w:r>
          </w:p>
          <w:p w14:paraId="DC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Допхарактеристики</w:t>
            </w:r>
            <w:r>
              <w:rPr>
                <w:rFonts w:ascii="Circe" w:hAnsi="Circe"/>
                <w:sz w:val="23"/>
              </w:rPr>
              <w:t xml:space="preserve"> товаров, КТРУ и </w:t>
            </w:r>
            <w:r>
              <w:rPr>
                <w:rFonts w:ascii="Circe" w:hAnsi="Circe"/>
                <w:sz w:val="23"/>
              </w:rPr>
              <w:t>нацрежим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DD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заявки поставщика при указании отечественного или импортного товара: выписка из реестра в зависимости от предмета закупки. </w:t>
            </w:r>
            <w:r>
              <w:rPr>
                <w:rFonts w:ascii="Circe" w:hAnsi="Circe"/>
                <w:sz w:val="23"/>
              </w:rPr>
              <w:t xml:space="preserve">Подтверждающие документы от поставщика в составе заявки и на этапе исполнения контракта. </w:t>
            </w:r>
            <w:r>
              <w:rPr>
                <w:rFonts w:ascii="Circe" w:hAnsi="Circe"/>
                <w:sz w:val="23"/>
              </w:rPr>
              <w:t>Анализ реестровой записи заказчиком</w:t>
            </w:r>
            <w:r>
              <w:rPr>
                <w:rFonts w:ascii="Circe" w:hAnsi="Circe"/>
                <w:sz w:val="23"/>
              </w:rPr>
              <w:t xml:space="preserve">. </w:t>
            </w:r>
          </w:p>
          <w:p w14:paraId="DE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контрольных органов в части применения заказчиками национального режима</w:t>
            </w:r>
            <w:r>
              <w:rPr>
                <w:rFonts w:ascii="Circe" w:hAnsi="Circe"/>
                <w:sz w:val="23"/>
              </w:rPr>
              <w:t xml:space="preserve"> (неприменение/</w:t>
            </w:r>
            <w:r>
              <w:rPr>
                <w:rFonts w:ascii="Circe" w:hAnsi="Circe"/>
                <w:sz w:val="23"/>
              </w:rPr>
              <w:t>неустановление</w:t>
            </w:r>
            <w:r>
              <w:rPr>
                <w:rFonts w:ascii="Circe" w:hAnsi="Circe"/>
                <w:sz w:val="23"/>
              </w:rPr>
              <w:t xml:space="preserve"> запрета, объединение лотов, </w:t>
            </w:r>
          </w:p>
          <w:p w14:paraId="DF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нарушений</w:t>
            </w:r>
            <w:r>
              <w:rPr>
                <w:rFonts w:ascii="Circe" w:hAnsi="Circe"/>
                <w:sz w:val="23"/>
              </w:rPr>
              <w:t xml:space="preserve"> при установлении и применении национального режима</w:t>
            </w:r>
          </w:p>
          <w:p w14:paraId="E0000000">
            <w:pPr>
              <w:widowControl w:val="1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Требования к участникам закупки</w:t>
            </w:r>
          </w:p>
          <w:p w14:paraId="E1000000">
            <w:pPr>
              <w:numPr>
                <w:ilvl w:val="0"/>
                <w:numId w:val="8"/>
              </w:numPr>
              <w:tabs>
                <w:tab w:leader="none" w:pos="284" w:val="left"/>
              </w:tabs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Единые, дополнительные и факультативные требования к поставщикам</w:t>
            </w:r>
          </w:p>
          <w:p w14:paraId="E2000000">
            <w:pPr>
              <w:numPr>
                <w:ilvl w:val="0"/>
                <w:numId w:val="8"/>
              </w:numPr>
              <w:tabs>
                <w:tab w:leader="none" w:pos="284" w:val="left"/>
              </w:tabs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Единые требования к участникам закупки в соответствии </w:t>
            </w:r>
            <w:r>
              <w:rPr>
                <w:rFonts w:ascii="Circe" w:hAnsi="Circe"/>
                <w:sz w:val="23"/>
              </w:rPr>
              <w:t>с частью 1 статьи</w:t>
            </w:r>
            <w:r>
              <w:rPr>
                <w:rFonts w:ascii="Circe" w:hAnsi="Circe"/>
                <w:sz w:val="23"/>
              </w:rPr>
              <w:t xml:space="preserve"> 31 44-ФЗ</w:t>
            </w:r>
          </w:p>
          <w:p w14:paraId="E3000000">
            <w:pPr>
              <w:numPr>
                <w:ilvl w:val="0"/>
                <w:numId w:val="8"/>
              </w:numPr>
              <w:tabs>
                <w:tab w:leader="none" w:pos="284" w:val="left"/>
              </w:tabs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требования к участникам закупки в соответствии с частями 2 и 2.1 статьи 31 44-ФЗ</w:t>
            </w:r>
          </w:p>
          <w:p w14:paraId="E4000000">
            <w:pPr>
              <w:pStyle w:val="Style_13"/>
              <w:numPr>
                <w:ilvl w:val="0"/>
                <w:numId w:val="8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Документы, подтверждающие соответствие участника закупки требованиям документации о закупках</w:t>
            </w:r>
          </w:p>
          <w:p w14:paraId="E5000000">
            <w:pPr>
              <w:pStyle w:val="Style_13"/>
              <w:numPr>
                <w:ilvl w:val="0"/>
                <w:numId w:val="8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о наличии лицензий и допусков в составе заявке</w:t>
            </w:r>
          </w:p>
          <w:p w14:paraId="E6000000">
            <w:pPr>
              <w:pStyle w:val="Style_13"/>
              <w:numPr>
                <w:ilvl w:val="0"/>
                <w:numId w:val="8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необоснованных и неправомерных требований к участникам закупок</w:t>
            </w:r>
          </w:p>
          <w:p w14:paraId="E7000000">
            <w:pPr>
              <w:pStyle w:val="Style_13"/>
              <w:numPr>
                <w:ilvl w:val="0"/>
                <w:numId w:val="8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составления декларации участника закупки</w:t>
            </w:r>
          </w:p>
          <w:p w14:paraId="E8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Участие в закупках субъектов малого предпринимательства</w:t>
            </w:r>
          </w:p>
          <w:p w14:paraId="E9000000">
            <w:pPr>
              <w:widowControl w:val="1"/>
              <w:numPr>
                <w:ilvl w:val="0"/>
                <w:numId w:val="8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Критерии отнесения поставщика к субъектам малого предпринимательства.</w:t>
            </w:r>
          </w:p>
          <w:p w14:paraId="EA000000">
            <w:pPr>
              <w:widowControl w:val="1"/>
              <w:tabs>
                <w:tab w:leader="none" w:pos="468" w:val="left"/>
              </w:tabs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  <w:p w14:paraId="EB000000">
            <w:pPr>
              <w:widowControl w:val="1"/>
              <w:numPr>
                <w:ilvl w:val="0"/>
                <w:numId w:val="8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Закупки у СМП: прямое привлечение (отдельные закупки) и косвенное  привлечение (субподряд)</w:t>
            </w:r>
          </w:p>
          <w:p w14:paraId="EC000000">
            <w:pPr>
              <w:widowControl w:val="1"/>
              <w:numPr>
                <w:ilvl w:val="0"/>
                <w:numId w:val="8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р</w:t>
            </w:r>
            <w:r>
              <w:rPr>
                <w:rFonts w:ascii="Circe" w:hAnsi="Circe"/>
                <w:sz w:val="23"/>
              </w:rPr>
              <w:t>еестр</w:t>
            </w:r>
            <w:r>
              <w:rPr>
                <w:rFonts w:ascii="Circe" w:hAnsi="Circe"/>
                <w:sz w:val="23"/>
              </w:rPr>
              <w:t>а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СМП -  в каких случаях можно потерять статус СМП</w:t>
            </w:r>
          </w:p>
          <w:p w14:paraId="ED000000">
            <w:pPr>
              <w:widowControl w:val="1"/>
              <w:numPr>
                <w:ilvl w:val="0"/>
                <w:numId w:val="8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Ответственность подрядчиков за неисполнение условия о привлечении субподрядчиков</w:t>
            </w:r>
          </w:p>
          <w:p w14:paraId="EE000000">
            <w:pPr>
              <w:widowControl w:val="1"/>
              <w:numPr>
                <w:ilvl w:val="0"/>
                <w:numId w:val="8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проведения и участия в закупках для СМП</w:t>
            </w:r>
          </w:p>
          <w:p w14:paraId="EF000000">
            <w:pPr>
              <w:widowControl w:val="1"/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Антидемпинговые меры при проведении закупок</w:t>
            </w:r>
          </w:p>
          <w:p w14:paraId="F0000000">
            <w:pPr>
              <w:widowControl w:val="1"/>
              <w:numPr>
                <w:ilvl w:val="0"/>
                <w:numId w:val="8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применения антидемпинговых мер</w:t>
            </w:r>
            <w:r>
              <w:rPr>
                <w:rFonts w:ascii="Circe" w:hAnsi="Circe"/>
                <w:sz w:val="23"/>
              </w:rPr>
              <w:t xml:space="preserve"> при проведении аукционов и конкурсов</w:t>
            </w:r>
          </w:p>
          <w:p w14:paraId="F1000000">
            <w:pPr>
              <w:widowControl w:val="1"/>
              <w:numPr>
                <w:ilvl w:val="0"/>
                <w:numId w:val="8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предоставления добросовестности (требования к контрактам и к размеру контракта)</w:t>
            </w:r>
          </w:p>
          <w:p w14:paraId="F2000000">
            <w:pPr>
              <w:widowControl w:val="1"/>
              <w:numPr>
                <w:ilvl w:val="0"/>
                <w:numId w:val="8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Отличия в предоставлении информации, подтверждающей добросовестность при участии в аукционе и конкурсе</w:t>
            </w:r>
          </w:p>
          <w:p w14:paraId="F3000000">
            <w:pPr>
              <w:widowControl w:val="1"/>
              <w:numPr>
                <w:ilvl w:val="0"/>
                <w:numId w:val="8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документы в предоставлении добросовестности</w:t>
            </w:r>
          </w:p>
          <w:p w14:paraId="F4000000">
            <w:pPr>
              <w:widowControl w:val="1"/>
              <w:numPr>
                <w:ilvl w:val="0"/>
                <w:numId w:val="8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</w:t>
            </w:r>
            <w:r>
              <w:rPr>
                <w:rFonts w:ascii="Circe" w:hAnsi="Circe"/>
                <w:sz w:val="23"/>
              </w:rPr>
              <w:t>ференции и антидемпинговые меры</w:t>
            </w:r>
          </w:p>
          <w:p w14:paraId="F5000000">
            <w:pPr>
              <w:widowControl w:val="1"/>
              <w:numPr>
                <w:ilvl w:val="0"/>
                <w:numId w:val="8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Отличия добросовестности от квалификации поставщика</w:t>
            </w:r>
          </w:p>
          <w:p w14:paraId="F6000000">
            <w:pPr>
              <w:widowControl w:val="1"/>
              <w:numPr>
                <w:ilvl w:val="0"/>
                <w:numId w:val="8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Отличия в добросовестности по части 3 статьи 37 от части 8.1 статьи 96</w:t>
            </w:r>
          </w:p>
          <w:p w14:paraId="F7000000">
            <w:pPr>
              <w:widowControl w:val="1"/>
              <w:numPr>
                <w:ilvl w:val="0"/>
                <w:numId w:val="8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в предоставлении добросовестности</w:t>
            </w:r>
          </w:p>
          <w:p w14:paraId="F8000000">
            <w:pPr>
              <w:widowControl w:val="1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Т</w:t>
            </w:r>
            <w:r>
              <w:rPr>
                <w:rFonts w:ascii="Circe" w:hAnsi="Circe"/>
                <w:b w:val="1"/>
                <w:sz w:val="23"/>
              </w:rPr>
              <w:t xml:space="preserve">ребования к обеспечению заявок </w:t>
            </w:r>
          </w:p>
          <w:p w14:paraId="F9000000">
            <w:pPr>
              <w:pStyle w:val="Style_8"/>
              <w:widowControl w:val="1"/>
              <w:numPr>
                <w:ilvl w:val="0"/>
                <w:numId w:val="8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установления обеспечения заявок при проведении конкурентных закупок: аукцион, конкурс, запрос котировок</w:t>
            </w:r>
          </w:p>
          <w:p w14:paraId="FA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Размер и форма предоставления обеспечения заявок: денежные средств и независимая (банковская) гарантия </w:t>
            </w:r>
          </w:p>
          <w:p w14:paraId="FB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размеру обеспечению заявок при проведении электронных аукционах и конкурсах</w:t>
            </w:r>
          </w:p>
          <w:p w14:paraId="FC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12 апреля 2018 года № 439 «Об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аукционах»</w:t>
            </w:r>
          </w:p>
          <w:p w14:paraId="FD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</w:t>
            </w:r>
            <w:r>
              <w:rPr>
                <w:rFonts w:ascii="Circe" w:hAnsi="Circe"/>
                <w:sz w:val="23"/>
              </w:rPr>
              <w:t>неустановления</w:t>
            </w:r>
            <w:r>
              <w:rPr>
                <w:rFonts w:ascii="Circe" w:hAnsi="Circe"/>
                <w:sz w:val="23"/>
              </w:rPr>
              <w:t xml:space="preserve"> обеспечения заявок в закупках с НМЦ</w:t>
            </w:r>
            <w:r>
              <w:rPr>
                <w:rFonts w:ascii="Circe" w:hAnsi="Circe"/>
                <w:sz w:val="23"/>
              </w:rPr>
              <w:t>К</w:t>
            </w:r>
            <w:r>
              <w:rPr>
                <w:rFonts w:ascii="Circe" w:hAnsi="Circe"/>
                <w:sz w:val="23"/>
              </w:rPr>
              <w:t xml:space="preserve"> до 1 млн. рублей </w:t>
            </w:r>
          </w:p>
          <w:p w14:paraId="FE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с</w:t>
            </w:r>
            <w:r>
              <w:rPr>
                <w:rFonts w:ascii="Circe" w:hAnsi="Circe"/>
                <w:sz w:val="23"/>
              </w:rPr>
              <w:t>рок</w:t>
            </w:r>
            <w:r>
              <w:rPr>
                <w:rFonts w:ascii="Circe" w:hAnsi="Circe"/>
                <w:sz w:val="23"/>
              </w:rPr>
              <w:t>а</w:t>
            </w:r>
            <w:r>
              <w:rPr>
                <w:rFonts w:ascii="Circe" w:hAnsi="Circe"/>
                <w:sz w:val="23"/>
              </w:rPr>
              <w:t xml:space="preserve"> действия независимой гарантии на участие </w:t>
            </w:r>
          </w:p>
          <w:p w14:paraId="FF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Правило «третьего отклонения в квартал» на каждой электронной площадке </w:t>
            </w:r>
          </w:p>
          <w:p w14:paraId="00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Случаи потери обеспечения заявки. Особенности закупок с </w:t>
            </w:r>
            <w:r>
              <w:rPr>
                <w:rFonts w:ascii="Circe" w:hAnsi="Circe"/>
                <w:sz w:val="23"/>
              </w:rPr>
              <w:t>нацрежимом</w:t>
            </w:r>
          </w:p>
          <w:p w14:paraId="01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Типовая форма независимой гарантии на участие. Типичные ошибки поставщиков в макетах гарантий</w:t>
            </w:r>
          </w:p>
          <w:p w14:paraId="02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подачи жалобы из-за непринятия независимой гарантии на действия заказчика/банка. Примеры ФАС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03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банков в выпуске банковских гарантий на участие</w:t>
            </w:r>
          </w:p>
          <w:p w14:paraId="04010000">
            <w:pPr>
              <w:widowControl w:val="1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bookmarkStart w:id="1" w:name="_GoBack"/>
            <w:bookmarkEnd w:id="1"/>
            <w:r>
              <w:rPr>
                <w:rFonts w:ascii="Circe" w:hAnsi="Circe"/>
                <w:b w:val="1"/>
                <w:sz w:val="23"/>
              </w:rPr>
              <w:t>Т</w:t>
            </w:r>
            <w:r>
              <w:rPr>
                <w:rFonts w:ascii="Circe" w:hAnsi="Circe"/>
                <w:b w:val="1"/>
                <w:sz w:val="23"/>
              </w:rPr>
              <w:t xml:space="preserve">ребования к обеспечению исполнения контракта </w:t>
            </w:r>
          </w:p>
          <w:p w14:paraId="05010000">
            <w:pPr>
              <w:widowControl w:val="1"/>
              <w:numPr>
                <w:ilvl w:val="0"/>
                <w:numId w:val="8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Размер обеспечения исполнения контракта в закупках для всех и для СМП. Порядок определения размера обеспечения исполнения контракта с казначейским сопровождением</w:t>
            </w:r>
          </w:p>
          <w:p w14:paraId="0601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требования к предоставлению увеличенного обеспечения при применении антидемпинговых мер</w:t>
            </w:r>
          </w:p>
          <w:p w14:paraId="0701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денежных средств в качестве обеспечения исполнения контракта: срок и порядок возврата</w:t>
            </w:r>
          </w:p>
          <w:p w14:paraId="0801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предоставления добросовестности в закупках для СМП. Отличия добросовестности между статьей 37 и частью 8.1 статьи 96</w:t>
            </w:r>
          </w:p>
          <w:p w14:paraId="09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порядка</w:t>
            </w:r>
            <w:r>
              <w:rPr>
                <w:rFonts w:ascii="Circe" w:hAnsi="Circe"/>
                <w:sz w:val="23"/>
              </w:rPr>
              <w:t xml:space="preserve"> уменьшения обеспечения исполнения контракта на размер выполненных обязательств по контракту</w:t>
            </w:r>
            <w:r>
              <w:rPr>
                <w:rFonts w:ascii="Circe" w:hAnsi="Circe"/>
                <w:sz w:val="23"/>
              </w:rPr>
              <w:t>. Замена обеспечения исполнения контракта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0A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 xml:space="preserve">беспечение исполнения гарантийных обязательств. Требования к размеру обеспечения и порядку предоставления </w:t>
            </w:r>
          </w:p>
          <w:p w14:paraId="0B010000">
            <w:pPr>
              <w:pStyle w:val="Style_13"/>
              <w:numPr>
                <w:ilvl w:val="0"/>
                <w:numId w:val="8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Типовые формы независимых гарантий на участие и исполнение контракта</w:t>
            </w:r>
          </w:p>
          <w:p w14:paraId="0C010000">
            <w:pPr>
              <w:pStyle w:val="Style_13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</w:t>
            </w:r>
            <w:r>
              <w:rPr>
                <w:rFonts w:ascii="Circe" w:hAnsi="Circe"/>
                <w:sz w:val="23"/>
              </w:rPr>
              <w:t>тельства РФ от 9 августа 2022 года №1397 «</w:t>
            </w:r>
            <w:r>
              <w:rPr>
                <w:rFonts w:ascii="Circe" w:hAnsi="Circe"/>
                <w:sz w:val="23"/>
              </w:rPr>
              <w:t>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</w:t>
            </w:r>
            <w:r>
              <w:rPr>
                <w:rFonts w:ascii="Circe" w:hAnsi="Circe"/>
                <w:sz w:val="23"/>
              </w:rPr>
              <w:t>вительства Российской Федерации»</w:t>
            </w:r>
          </w:p>
          <w:p w14:paraId="0D01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8 ноября 2013 года №1005 «О банковских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0E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Основные разделы структурированной типовой формы: дата гарантии, выдачи, номер независимой наименования бенефициара, гаранта и принципала с указанием реквизитов, предмет/объект закупки, ИКЗ (44-ФЗ), сумма гарантии, срок вступления в силу, срок действия гарантии</w:t>
            </w:r>
          </w:p>
          <w:p w14:paraId="0F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текстовой части типовой формы гарантии – типичные ошибки поставщиков</w:t>
            </w:r>
          </w:p>
          <w:p w14:paraId="10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Независимые</w:t>
            </w:r>
            <w:r>
              <w:rPr>
                <w:rFonts w:ascii="Circe" w:hAnsi="Circe"/>
                <w:sz w:val="23"/>
              </w:rPr>
              <w:t xml:space="preserve"> гарантии по закрытым закупкам, порядок получения и размещения гарантии в закрытом реестре банковских гаранти</w:t>
            </w:r>
            <w:r>
              <w:rPr>
                <w:rFonts w:ascii="Circe" w:hAnsi="Circe"/>
                <w:sz w:val="23"/>
              </w:rPr>
              <w:t>й</w:t>
            </w:r>
          </w:p>
          <w:p w14:paraId="11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Открытые и закрытые реестры независимых гарантий</w:t>
            </w:r>
          </w:p>
          <w:p w14:paraId="12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отказа в принятии банковской гарантии. Что может обжаловать участник закупки?</w:t>
            </w:r>
          </w:p>
          <w:p w14:paraId="1301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банковского сопровождения контрактов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1401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15:20-15:40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1501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601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15:40-17:30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7010000">
            <w:pPr>
              <w:widowControl w:val="1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 </w:t>
            </w:r>
            <w:r>
              <w:rPr>
                <w:rFonts w:ascii="Circe" w:hAnsi="Circe"/>
                <w:b w:val="1"/>
                <w:sz w:val="23"/>
              </w:rPr>
              <w:t xml:space="preserve">Заключение </w:t>
            </w:r>
            <w:r>
              <w:rPr>
                <w:rFonts w:ascii="Circe" w:hAnsi="Circe"/>
                <w:b w:val="1"/>
                <w:sz w:val="23"/>
              </w:rPr>
              <w:t xml:space="preserve">и исполнение </w:t>
            </w:r>
            <w:r>
              <w:rPr>
                <w:rFonts w:ascii="Circe" w:hAnsi="Circe"/>
                <w:b w:val="1"/>
                <w:sz w:val="23"/>
              </w:rPr>
              <w:t>контракта</w:t>
            </w:r>
          </w:p>
          <w:p w14:paraId="1801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 xml:space="preserve">орядок заключения контрактов со стороны заказчика </w:t>
            </w:r>
            <w:r>
              <w:rPr>
                <w:rFonts w:ascii="Circe" w:hAnsi="Circe"/>
                <w:sz w:val="23"/>
              </w:rPr>
              <w:t>и поставщика. Функционалы ЕИС и ЭП</w:t>
            </w:r>
          </w:p>
          <w:p w14:paraId="1901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структурированного контракта и приложения к контракту (файл). На что обратить внимание поставщику?</w:t>
            </w:r>
          </w:p>
          <w:p w14:paraId="1A01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Действия поставщика, в случае, если не подписан контракт. Практика контрольных органов </w:t>
            </w:r>
          </w:p>
          <w:p w14:paraId="1B01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</w:t>
            </w:r>
            <w:r>
              <w:rPr>
                <w:rFonts w:ascii="Circe" w:hAnsi="Circe"/>
                <w:sz w:val="23"/>
              </w:rPr>
              <w:t xml:space="preserve">азделы на </w:t>
            </w:r>
            <w:r>
              <w:rPr>
                <w:rFonts w:ascii="Circe" w:hAnsi="Circe"/>
                <w:sz w:val="23"/>
              </w:rPr>
              <w:t xml:space="preserve">электронной </w:t>
            </w:r>
            <w:r>
              <w:rPr>
                <w:rFonts w:ascii="Circe" w:hAnsi="Circe"/>
                <w:sz w:val="23"/>
              </w:rPr>
              <w:t>площадке для подписания контракта. Что является обязательным для заполнения</w:t>
            </w:r>
            <w:r>
              <w:rPr>
                <w:rFonts w:ascii="Circe" w:hAnsi="Circe"/>
                <w:sz w:val="23"/>
              </w:rPr>
              <w:t xml:space="preserve"> поставщику?</w:t>
            </w:r>
          </w:p>
          <w:p w14:paraId="1C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статьи 34 44-ФЗ - </w:t>
            </w:r>
            <w:r>
              <w:rPr>
                <w:rFonts w:ascii="Circe" w:hAnsi="Circe"/>
                <w:sz w:val="23"/>
              </w:rPr>
              <w:t xml:space="preserve">содержание и структура контракта, </w:t>
            </w: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ущественные условия контракта</w:t>
            </w:r>
          </w:p>
          <w:p w14:paraId="1D010000">
            <w:pPr>
              <w:pStyle w:val="Style_13"/>
              <w:numPr>
                <w:ilvl w:val="0"/>
                <w:numId w:val="9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Типовые условия контрактов вместо типовых контрактов</w:t>
            </w:r>
          </w:p>
          <w:p w14:paraId="1E010000">
            <w:pPr>
              <w:pStyle w:val="Style_13"/>
              <w:numPr>
                <w:ilvl w:val="0"/>
                <w:numId w:val="9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включения новых реквизитов в реестр контрактов</w:t>
            </w:r>
          </w:p>
          <w:p w14:paraId="1F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Условие об удержании суммы неисполненных поставщиком требований об уплате неустоек (штрафов, пеней), предъявленных заказчиком, из суммы, подлежащей оплате поставщику, может быть включено в контракт</w:t>
            </w:r>
          </w:p>
          <w:p w14:paraId="20010000">
            <w:pPr>
              <w:pStyle w:val="Style_13"/>
              <w:numPr>
                <w:ilvl w:val="0"/>
                <w:numId w:val="9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 оплаты по контрактам до 7 рабочих дней. Анализ закупок, по которым заказчик устанавливает иной срок оплаты</w:t>
            </w:r>
          </w:p>
          <w:p w14:paraId="21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Определение сроков выполнения работ, оказания услуг, поставки товара</w:t>
            </w:r>
          </w:p>
          <w:p w14:paraId="22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Отказ от заключения контракта по частям 9 и 10 статьи 31</w:t>
            </w:r>
          </w:p>
          <w:p w14:paraId="23010000">
            <w:pPr>
              <w:pStyle w:val="Style_13"/>
              <w:numPr>
                <w:ilvl w:val="0"/>
                <w:numId w:val="9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ведения реестра контрактов, содержащего сведения, составляющие </w:t>
            </w:r>
            <w:r>
              <w:rPr>
                <w:rFonts w:ascii="Circe" w:hAnsi="Circe"/>
                <w:sz w:val="23"/>
              </w:rPr>
              <w:t>гостайну</w:t>
            </w:r>
          </w:p>
          <w:p w14:paraId="24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Применение поставщиком функции «рецензирования» при сравнении проекта контракта с заполненным контрактом</w:t>
            </w:r>
          </w:p>
          <w:p w14:paraId="25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заключений сторонами в ЕИС соглашений об изменении, расторжении контракта по результатам электронных процедур с июля 2023 года</w:t>
            </w:r>
          </w:p>
          <w:p w14:paraId="26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изменения существенных условий контракта в новой редакции части 65.1 статьи 112</w:t>
            </w:r>
          </w:p>
          <w:p w14:paraId="27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Допсоглашения</w:t>
            </w:r>
            <w:r>
              <w:rPr>
                <w:rFonts w:ascii="Circe" w:hAnsi="Circe"/>
                <w:sz w:val="23"/>
              </w:rPr>
              <w:t xml:space="preserve"> по контрактам </w:t>
            </w:r>
          </w:p>
          <w:p w14:paraId="28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Последствия признания условий контракта недействительными</w:t>
            </w:r>
          </w:p>
          <w:p w14:paraId="29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</w:t>
            </w:r>
            <w:r>
              <w:rPr>
                <w:rFonts w:ascii="Circe" w:hAnsi="Circe"/>
                <w:sz w:val="23"/>
              </w:rPr>
              <w:t>нования и случаи изменения цены/объема/</w:t>
            </w:r>
            <w:r>
              <w:rPr>
                <w:rFonts w:ascii="Circe" w:hAnsi="Circe"/>
                <w:sz w:val="23"/>
              </w:rPr>
              <w:t>срока в контракте</w:t>
            </w:r>
          </w:p>
          <w:p w14:paraId="2A010000">
            <w:pPr>
              <w:pStyle w:val="Style_13"/>
              <w:numPr>
                <w:ilvl w:val="0"/>
                <w:numId w:val="9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списания сумм неустоек, начисленных поставщику. Порядок списания неустоек</w:t>
            </w:r>
          </w:p>
          <w:p w14:paraId="2B010000">
            <w:pPr>
              <w:widowControl w:val="1"/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Порядок расторжения контрактов</w:t>
            </w:r>
          </w:p>
          <w:p w14:paraId="2C010000">
            <w:pPr>
              <w:pStyle w:val="Style_13"/>
              <w:numPr>
                <w:ilvl w:val="0"/>
                <w:numId w:val="9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Основания для расторжения контракта в соответствии со статьей 95</w:t>
            </w:r>
          </w:p>
          <w:p w14:paraId="2D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одностороннего расторжения контракта</w:t>
            </w:r>
            <w:r>
              <w:rPr>
                <w:rFonts w:ascii="Circe" w:hAnsi="Circe"/>
                <w:sz w:val="23"/>
              </w:rPr>
              <w:t xml:space="preserve"> через ЕИС с 2022 года </w:t>
            </w:r>
          </w:p>
          <w:p w14:paraId="2E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Алгоритм одностороннего расторжения контракта</w:t>
            </w:r>
          </w:p>
          <w:p w14:paraId="2F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одностороннего расторжения контракта со стороны поставщика согласно Гражданскому кодексу РФ</w:t>
            </w:r>
          </w:p>
          <w:p w14:paraId="30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одностороннего расторжения контракта со стороны заказчика согласно Гражданскому кодексу РФ</w:t>
            </w:r>
          </w:p>
          <w:p w14:paraId="31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Реестр недобросовестных поставщиков</w:t>
            </w:r>
          </w:p>
          <w:p w14:paraId="32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включения участника закупки в реестр недобросовестных поставщиков. Алгоритм действий заказчика и поставщика на стадиях «определения поставщика» и «исполнении контракта»</w:t>
            </w:r>
          </w:p>
          <w:p w14:paraId="3301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Как не попасть в РНП: практические рекомендации для поставщиков</w:t>
            </w:r>
          </w:p>
          <w:p w14:paraId="34010000">
            <w:pPr>
              <w:pStyle w:val="Style_13"/>
              <w:numPr>
                <w:ilvl w:val="0"/>
                <w:numId w:val="9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Невключение</w:t>
            </w:r>
            <w:r>
              <w:rPr>
                <w:rFonts w:ascii="Circe" w:hAnsi="Circe"/>
                <w:sz w:val="23"/>
              </w:rPr>
              <w:t xml:space="preserve"> поставщиков в РНП, </w:t>
            </w:r>
            <w:r>
              <w:rPr>
                <w:rFonts w:ascii="Circe" w:hAnsi="Circe"/>
                <w:sz w:val="23"/>
              </w:rPr>
              <w:t xml:space="preserve"> не исполнивших свои обязательства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если исполнение контракта оказалось невозможным из-за форс-мажора, связанного с введением санкций и других ограничений иностранными государствами</w:t>
            </w:r>
          </w:p>
          <w:p w14:paraId="35010000">
            <w:pPr>
              <w:pStyle w:val="Style_13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</w:t>
            </w:r>
            <w:r>
              <w:rPr>
                <w:rFonts w:ascii="Circe" w:hAnsi="Circe"/>
                <w:sz w:val="23"/>
              </w:rPr>
              <w:t>ительства РФ от 21 марта 2022 года №417 «</w:t>
            </w:r>
            <w:r>
              <w:rPr>
                <w:rFonts w:ascii="Circe" w:hAnsi="Circe"/>
                <w:sz w:val="23"/>
              </w:rPr>
              <w:t xml:space="preserve">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</w:t>
            </w:r>
            <w:r>
              <w:rPr>
                <w:rFonts w:ascii="Circe" w:hAnsi="Circe"/>
                <w:sz w:val="23"/>
              </w:rPr>
              <w:t>закупок товаров, работ, услуг от</w:t>
            </w:r>
            <w:r>
              <w:rPr>
                <w:rFonts w:ascii="Circe" w:hAnsi="Circe"/>
                <w:sz w:val="23"/>
              </w:rPr>
              <w:t>дельными видами юридических лиц»</w:t>
            </w:r>
          </w:p>
          <w:p w14:paraId="3601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Электронное обжалование </w:t>
            </w:r>
          </w:p>
          <w:p w14:paraId="37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Обязательное применение электронных жалоб с января 2022 года</w:t>
            </w:r>
          </w:p>
          <w:p w14:paraId="38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Алгоритм электронной жалобы: </w:t>
            </w:r>
            <w:r>
              <w:rPr>
                <w:rFonts w:ascii="Circe" w:hAnsi="Circe"/>
                <w:sz w:val="23"/>
              </w:rPr>
              <w:t>автоматическое заполнение части формы жалобы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минимизация ошибок за счет автопроверки заполнения жалобы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автоматическое оповещение участников процесса о всех этапах рассмотрения жалоб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возможность отзыва жалобы через личный кабинет ЕИС в сфере закупок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автоматическое размещение решений и предписаний</w:t>
            </w:r>
          </w:p>
          <w:p w14:paraId="39010000">
            <w:pPr>
              <w:widowControl w:val="1"/>
              <w:numPr>
                <w:ilvl w:val="0"/>
                <w:numId w:val="6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действий (бездействий) заказчика, комиссии, должностного лица контрактной службы, контрактного управляющего, оператора электронной площадки</w:t>
            </w:r>
          </w:p>
          <w:p w14:paraId="3A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подачи жалобы, рассмотрения и размещения решения в </w:t>
            </w:r>
            <w:r>
              <w:rPr>
                <w:rFonts w:ascii="Circe" w:hAnsi="Circe"/>
                <w:sz w:val="23"/>
              </w:rPr>
              <w:t>ЕИСе</w:t>
            </w:r>
          </w:p>
          <w:p w14:paraId="3B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заявителям жалобы</w:t>
            </w:r>
          </w:p>
          <w:p w14:paraId="3C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Общий</w:t>
            </w:r>
            <w:r>
              <w:rPr>
                <w:rFonts w:ascii="Circe" w:hAnsi="Circe"/>
                <w:sz w:val="23"/>
              </w:rPr>
              <w:t xml:space="preserve"> порядок рассмотрения жалоб – в дистанционном формате</w:t>
            </w:r>
            <w:r>
              <w:rPr>
                <w:rFonts w:ascii="Circe" w:hAnsi="Circe"/>
                <w:sz w:val="23"/>
              </w:rPr>
              <w:t>. Возможность проведения очного заседания – необходимые действия поставщика</w:t>
            </w:r>
          </w:p>
          <w:p w14:paraId="3D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проведения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</w:t>
            </w:r>
            <w:r>
              <w:rPr>
                <w:rFonts w:ascii="Circe" w:hAnsi="Circe"/>
                <w:sz w:val="23"/>
              </w:rPr>
              <w:t xml:space="preserve"> (</w:t>
            </w:r>
            <w:r>
              <w:rPr>
                <w:rFonts w:ascii="Circe" w:hAnsi="Circe"/>
                <w:sz w:val="23"/>
              </w:rPr>
              <w:t>вкс</w:t>
            </w:r>
            <w:r>
              <w:rPr>
                <w:rFonts w:ascii="Circe" w:hAnsi="Circe"/>
                <w:sz w:val="23"/>
              </w:rPr>
              <w:t>). На что обратить внимание поставщику</w:t>
            </w:r>
          </w:p>
          <w:p w14:paraId="3E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Специфика территориальных органов УФАС при проведении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</w:t>
            </w:r>
          </w:p>
          <w:p w14:paraId="3F01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участии в дистанционном рассмотрении жалоб</w:t>
            </w:r>
          </w:p>
          <w:p w14:paraId="40010000">
            <w:pPr>
              <w:widowControl w:val="1"/>
              <w:numPr>
                <w:ilvl w:val="0"/>
                <w:numId w:val="6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обжалования действий банка</w:t>
            </w:r>
          </w:p>
          <w:p w14:paraId="41010000">
            <w:pPr>
              <w:widowControl w:val="1"/>
              <w:numPr>
                <w:ilvl w:val="0"/>
                <w:numId w:val="6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Обжалование действий операторов электронных площадок (обзор практики ФАС)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4201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</w:t>
            </w:r>
            <w:r>
              <w:rPr>
                <w:rStyle w:val="Style_11_ch"/>
                <w:rFonts w:ascii="Circe" w:hAnsi="Circe"/>
                <w:sz w:val="20"/>
              </w:rPr>
              <w:t>30</w:t>
            </w:r>
            <w:r>
              <w:rPr>
                <w:rStyle w:val="Style_11_ch"/>
                <w:rFonts w:ascii="Circe" w:hAnsi="Circe"/>
                <w:sz w:val="20"/>
              </w:rPr>
              <w:t>-18:00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43010000">
            <w:pPr>
              <w:widowControl w:val="1"/>
              <w:tabs>
                <w:tab w:leader="none" w:pos="468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Ответы на вопросы. Вручение сертификатов</w:t>
            </w:r>
          </w:p>
        </w:tc>
      </w:tr>
    </w:tbl>
    <w:p w14:paraId="44010000"/>
    <w:sectPr>
      <w:pgSz w:h="11907" w:orient="landscape" w:w="16839"/>
      <w:pgMar w:bottom="284" w:footer="720" w:gutter="0" w:header="720" w:left="1134" w:right="28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15" w:type="paragraph">
    <w:name w:val="toc 2"/>
    <w:next w:val="Style_5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4" w:type="paragraph">
    <w:name w:val="Style5"/>
    <w:basedOn w:val="Style_5"/>
    <w:link w:val="Style_4_ch"/>
  </w:style>
  <w:style w:styleId="Style_4_ch" w:type="character">
    <w:name w:val="Style5"/>
    <w:basedOn w:val="Style_5_ch"/>
    <w:link w:val="Style_4"/>
  </w:style>
  <w:style w:styleId="Style_1" w:type="paragraph">
    <w:name w:val="Style1"/>
    <w:basedOn w:val="Style_5"/>
    <w:link w:val="Style_1_ch"/>
  </w:style>
  <w:style w:styleId="Style_1_ch" w:type="character">
    <w:name w:val="Style1"/>
    <w:basedOn w:val="Style_5_ch"/>
    <w:link w:val="Style_1"/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b1"/>
    <w:link w:val="Style_20_ch"/>
  </w:style>
  <w:style w:styleId="Style_20_ch" w:type="character">
    <w:name w:val="b1"/>
    <w:link w:val="Style_20"/>
  </w:style>
  <w:style w:styleId="Style_21" w:type="paragraph">
    <w:name w:val="Default"/>
    <w:link w:val="Style_2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1_ch" w:type="character">
    <w:name w:val="Default"/>
    <w:link w:val="Style_21"/>
    <w:rPr>
      <w:rFonts w:ascii="Times New Roman" w:hAnsi="Times New Roman"/>
      <w:color w:val="000000"/>
      <w:sz w:val="24"/>
    </w:rPr>
  </w:style>
  <w:style w:styleId="Style_22" w:type="paragraph">
    <w:name w:val="Style8"/>
    <w:basedOn w:val="Style_5"/>
    <w:link w:val="Style_22_ch"/>
  </w:style>
  <w:style w:styleId="Style_22_ch" w:type="character">
    <w:name w:val="Style8"/>
    <w:basedOn w:val="Style_5_ch"/>
    <w:link w:val="Style_22"/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2" w:type="paragraph">
    <w:name w:val="Font Style19"/>
    <w:link w:val="Style_12_ch"/>
    <w:rPr>
      <w:rFonts w:ascii="Times New Roman" w:hAnsi="Times New Roman"/>
      <w:sz w:val="22"/>
    </w:rPr>
  </w:style>
  <w:style w:styleId="Style_12_ch" w:type="character">
    <w:name w:val="Font Style19"/>
    <w:link w:val="Style_12"/>
    <w:rPr>
      <w:rFonts w:ascii="Times New Roman" w:hAnsi="Times New Roman"/>
      <w:sz w:val="22"/>
    </w:rPr>
  </w:style>
  <w:style w:styleId="Style_10" w:type="paragraph">
    <w:name w:val="Style11"/>
    <w:basedOn w:val="Style_5"/>
    <w:link w:val="Style_10_ch"/>
    <w:pPr>
      <w:spacing w:line="245" w:lineRule="exact"/>
      <w:ind/>
    </w:pPr>
  </w:style>
  <w:style w:styleId="Style_10_ch" w:type="character">
    <w:name w:val="Style11"/>
    <w:basedOn w:val="Style_5_ch"/>
    <w:link w:val="Style_10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5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8" w:type="paragraph">
    <w:name w:val="Style10"/>
    <w:basedOn w:val="Style_5"/>
    <w:link w:val="Style_8_ch"/>
    <w:pPr>
      <w:spacing w:line="252" w:lineRule="exact"/>
      <w:ind/>
    </w:pPr>
  </w:style>
  <w:style w:styleId="Style_8_ch" w:type="character">
    <w:name w:val="Style10"/>
    <w:basedOn w:val="Style_5_ch"/>
    <w:link w:val="Style_8"/>
  </w:style>
  <w:style w:styleId="Style_13" w:type="paragraph">
    <w:name w:val="List Paragraph"/>
    <w:basedOn w:val="Style_5"/>
    <w:link w:val="Style_13_ch"/>
    <w:pPr>
      <w:widowControl w:val="1"/>
      <w:spacing w:after="120"/>
      <w:ind w:firstLine="567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2" w:type="paragraph">
    <w:name w:val="Font Style15"/>
    <w:link w:val="Style_2_ch"/>
    <w:rPr>
      <w:rFonts w:ascii="Times New Roman" w:hAnsi="Times New Roman"/>
      <w:b w:val="1"/>
      <w:sz w:val="22"/>
    </w:rPr>
  </w:style>
  <w:style w:styleId="Style_2_ch" w:type="character">
    <w:name w:val="Font Style15"/>
    <w:link w:val="Style_2"/>
    <w:rPr>
      <w:rFonts w:ascii="Times New Roman" w:hAnsi="Times New Roman"/>
      <w:b w:val="1"/>
      <w:sz w:val="22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4" w:type="paragraph">
    <w:name w:val="Style4"/>
    <w:basedOn w:val="Style_5"/>
    <w:link w:val="Style_14_ch"/>
    <w:pPr>
      <w:spacing w:line="259" w:lineRule="exact"/>
      <w:ind w:hanging="360" w:left="360"/>
    </w:pPr>
  </w:style>
  <w:style w:styleId="Style_14_ch" w:type="character">
    <w:name w:val="Style4"/>
    <w:basedOn w:val="Style_5_ch"/>
    <w:link w:val="Style_14"/>
  </w:style>
  <w:style w:styleId="Style_3" w:type="paragraph">
    <w:name w:val="Normal (Web)"/>
    <w:basedOn w:val="Style_5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Balloon Text"/>
    <w:basedOn w:val="Style_5"/>
    <w:link w:val="Style_36_ch"/>
    <w:rPr>
      <w:rFonts w:ascii="Tahoma" w:hAnsi="Tahoma"/>
      <w:sz w:val="16"/>
    </w:rPr>
  </w:style>
  <w:style w:styleId="Style_36_ch" w:type="character">
    <w:name w:val="Balloon Text"/>
    <w:basedOn w:val="Style_5_ch"/>
    <w:link w:val="Style_36"/>
    <w:rPr>
      <w:rFonts w:ascii="Tahoma" w:hAnsi="Tahoma"/>
      <w:sz w:val="16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11" w:type="paragraph">
    <w:name w:val="Font Style18"/>
    <w:link w:val="Style_11_ch"/>
    <w:rPr>
      <w:rFonts w:ascii="Times New Roman" w:hAnsi="Times New Roman"/>
      <w:b w:val="1"/>
      <w:sz w:val="22"/>
    </w:rPr>
  </w:style>
  <w:style w:styleId="Style_11_ch" w:type="character">
    <w:name w:val="Font Style18"/>
    <w:link w:val="Style_11"/>
    <w:rPr>
      <w:rFonts w:ascii="Times New Roman" w:hAnsi="Times New Roman"/>
      <w:b w:val="1"/>
      <w:sz w:val="22"/>
    </w:rPr>
  </w:style>
  <w:style w:styleId="Style_6" w:type="table">
    <w:name w:val="Table Grid"/>
    <w:basedOn w:val="Style_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2025-01-17T07:17:57Z</dcterms:modified>
</cp:coreProperties>
</file>